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54" w:rsidRDefault="00ED7578" w:rsidP="003A0836">
      <w:pPr>
        <w:spacing w:beforeLines="50" w:line="360" w:lineRule="auto"/>
        <w:jc w:val="center"/>
        <w:rPr>
          <w:rFonts w:asciiTheme="minorEastAsia" w:hAnsiTheme="minorEastAsia" w:hint="eastAsia"/>
          <w:b/>
        </w:rPr>
      </w:pPr>
      <w:r w:rsidRPr="00DD3F7D">
        <w:rPr>
          <w:rFonts w:asciiTheme="minorEastAsia" w:hAnsiTheme="minorEastAsia" w:hint="eastAsia"/>
          <w:b/>
        </w:rPr>
        <w:t>QDII</w:t>
      </w:r>
      <w:r w:rsidR="001A36B7" w:rsidRPr="00DD3F7D">
        <w:rPr>
          <w:rFonts w:asciiTheme="minorEastAsia" w:hAnsiTheme="minorEastAsia" w:hint="eastAsia"/>
          <w:b/>
        </w:rPr>
        <w:t>基金</w:t>
      </w:r>
      <w:r w:rsidR="004A501F">
        <w:rPr>
          <w:rFonts w:asciiTheme="minorEastAsia" w:hAnsiTheme="minorEastAsia" w:hint="eastAsia"/>
          <w:b/>
        </w:rPr>
        <w:t>二季度投资展望：</w:t>
      </w:r>
      <w:r w:rsidR="003F51A2">
        <w:rPr>
          <w:rFonts w:asciiTheme="minorEastAsia" w:hAnsiTheme="minorEastAsia" w:hint="eastAsia"/>
          <w:b/>
        </w:rPr>
        <w:t>流动性宽裕提振风险资产表现</w:t>
      </w:r>
    </w:p>
    <w:p w:rsidR="00DD3F7D" w:rsidRPr="00DD3F7D" w:rsidRDefault="00DD3F7D" w:rsidP="00DD3F7D">
      <w:pPr>
        <w:spacing w:beforeLines="50" w:line="360" w:lineRule="auto"/>
        <w:jc w:val="right"/>
        <w:rPr>
          <w:rFonts w:asciiTheme="minorEastAsia" w:hAnsiTheme="minorEastAsia" w:hint="eastAsia"/>
        </w:rPr>
      </w:pPr>
      <w:r w:rsidRPr="00DD3F7D">
        <w:rPr>
          <w:rFonts w:asciiTheme="minorEastAsia" w:hAnsiTheme="minorEastAsia" w:hint="eastAsia"/>
        </w:rPr>
        <w:t>众禄基金研究中心 朱炎钊/文</w:t>
      </w:r>
    </w:p>
    <w:p w:rsidR="002A09A3" w:rsidRPr="002A09A3" w:rsidRDefault="002A09A3" w:rsidP="002A09A3">
      <w:pPr>
        <w:spacing w:beforeLines="50" w:line="360" w:lineRule="auto"/>
        <w:jc w:val="left"/>
        <w:rPr>
          <w:rFonts w:asciiTheme="minorEastAsia" w:hAnsiTheme="minorEastAsia"/>
          <w:b/>
        </w:rPr>
      </w:pPr>
      <w:r w:rsidRPr="002A09A3">
        <w:rPr>
          <w:rFonts w:asciiTheme="minorEastAsia" w:hAnsiTheme="minorEastAsia" w:hint="eastAsia"/>
          <w:b/>
        </w:rPr>
        <w:t>一季度</w:t>
      </w:r>
      <w:r w:rsidR="00023037">
        <w:rPr>
          <w:rFonts w:asciiTheme="minorEastAsia" w:hAnsiTheme="minorEastAsia" w:hint="eastAsia"/>
          <w:b/>
        </w:rPr>
        <w:t>市场</w:t>
      </w:r>
      <w:r w:rsidRPr="002A09A3">
        <w:rPr>
          <w:rFonts w:asciiTheme="minorEastAsia" w:hAnsiTheme="minorEastAsia" w:hint="eastAsia"/>
          <w:b/>
        </w:rPr>
        <w:t>回顾</w:t>
      </w:r>
    </w:p>
    <w:p w:rsidR="008829E3" w:rsidRDefault="00AA6C6C" w:rsidP="003A0836">
      <w:pPr>
        <w:spacing w:beforeLines="50" w:line="360" w:lineRule="auto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一季度,</w:t>
      </w:r>
      <w:r w:rsidR="000E1529">
        <w:rPr>
          <w:rFonts w:asciiTheme="minorEastAsia" w:hAnsiTheme="minorEastAsia" w:hint="eastAsia"/>
        </w:rPr>
        <w:t>全球股指涨跌互现,美股、欧股等发达</w:t>
      </w:r>
      <w:r w:rsidR="00103E8C">
        <w:rPr>
          <w:rFonts w:asciiTheme="minorEastAsia" w:hAnsiTheme="minorEastAsia" w:hint="eastAsia"/>
        </w:rPr>
        <w:t>国家股票市场</w:t>
      </w:r>
      <w:r w:rsidR="000E1529">
        <w:rPr>
          <w:rFonts w:asciiTheme="minorEastAsia" w:hAnsiTheme="minorEastAsia" w:hint="eastAsia"/>
        </w:rPr>
        <w:t>震荡收涨；而港股、俄股</w:t>
      </w:r>
      <w:r w:rsidR="00103E8C">
        <w:rPr>
          <w:rFonts w:asciiTheme="minorEastAsia" w:hAnsiTheme="minorEastAsia" w:hint="eastAsia"/>
        </w:rPr>
        <w:t>等新兴国家股票市场</w:t>
      </w:r>
      <w:r w:rsidR="000E1529">
        <w:rPr>
          <w:rFonts w:asciiTheme="minorEastAsia" w:hAnsiTheme="minorEastAsia" w:hint="eastAsia"/>
        </w:rPr>
        <w:t>走势</w:t>
      </w:r>
      <w:r w:rsidR="006361F8">
        <w:rPr>
          <w:rFonts w:asciiTheme="minorEastAsia" w:hAnsiTheme="minorEastAsia" w:hint="eastAsia"/>
        </w:rPr>
        <w:t>疲弱</w:t>
      </w:r>
      <w:r w:rsidR="000E1529">
        <w:rPr>
          <w:rFonts w:asciiTheme="minorEastAsia" w:hAnsiTheme="minorEastAsia" w:hint="eastAsia"/>
        </w:rPr>
        <w:t>。</w:t>
      </w:r>
      <w:r w:rsidR="006361F8">
        <w:rPr>
          <w:rFonts w:asciiTheme="minorEastAsia" w:hAnsiTheme="minorEastAsia" w:hint="eastAsia"/>
        </w:rPr>
        <w:t>从季度收益来看，标普500指数、泛欧斯托克600分别上涨1.30%、1.84%；</w:t>
      </w:r>
      <w:r w:rsidR="00BF2B86">
        <w:rPr>
          <w:rFonts w:asciiTheme="minorEastAsia" w:hAnsiTheme="minorEastAsia" w:hint="eastAsia"/>
        </w:rPr>
        <w:t>而恒生指数、恒生国企指数、俄罗斯RTX指数分别下跌</w:t>
      </w:r>
      <w:r w:rsidR="00BF2B86">
        <w:rPr>
          <w:rFonts w:asciiTheme="minorEastAsia" w:hAnsiTheme="minorEastAsia"/>
        </w:rPr>
        <w:t>4.96%</w:t>
      </w:r>
      <w:r w:rsidR="00BF2B86">
        <w:rPr>
          <w:rFonts w:asciiTheme="minorEastAsia" w:hAnsiTheme="minorEastAsia" w:hint="eastAsia"/>
        </w:rPr>
        <w:t>、</w:t>
      </w:r>
      <w:r w:rsidR="00BF2B86">
        <w:rPr>
          <w:rFonts w:asciiTheme="minorEastAsia" w:hAnsiTheme="minorEastAsia"/>
        </w:rPr>
        <w:t>6.85%</w:t>
      </w:r>
      <w:r w:rsidR="00BF2B86">
        <w:rPr>
          <w:rFonts w:asciiTheme="minorEastAsia" w:hAnsiTheme="minorEastAsia" w:hint="eastAsia"/>
        </w:rPr>
        <w:t>和</w:t>
      </w:r>
      <w:r w:rsidR="00BF2B86" w:rsidRPr="00BF2B86">
        <w:rPr>
          <w:rFonts w:asciiTheme="minorEastAsia" w:hAnsiTheme="minorEastAsia"/>
        </w:rPr>
        <w:t>15.02%</w:t>
      </w:r>
      <w:r w:rsidR="00BF2B86">
        <w:rPr>
          <w:rFonts w:asciiTheme="minorEastAsia" w:hAnsiTheme="minorEastAsia" w:hint="eastAsia"/>
        </w:rPr>
        <w:t>。</w:t>
      </w:r>
      <w:r w:rsidR="002510F4">
        <w:rPr>
          <w:rFonts w:asciiTheme="minorEastAsia" w:hAnsiTheme="minorEastAsia" w:hint="eastAsia"/>
        </w:rPr>
        <w:t>其中俄罗斯股票市场受俄乌冲突影响跌幅</w:t>
      </w:r>
      <w:r w:rsidR="00882CCE">
        <w:rPr>
          <w:rFonts w:asciiTheme="minorEastAsia" w:hAnsiTheme="minorEastAsia" w:hint="eastAsia"/>
        </w:rPr>
        <w:t>居前</w:t>
      </w:r>
      <w:r w:rsidR="002510F4">
        <w:rPr>
          <w:rFonts w:asciiTheme="minorEastAsia" w:hAnsiTheme="minorEastAsia" w:hint="eastAsia"/>
        </w:rPr>
        <w:t>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0730B7" w:rsidTr="000730B7">
        <w:tc>
          <w:tcPr>
            <w:tcW w:w="8522" w:type="dxa"/>
            <w:tcBorders>
              <w:bottom w:val="single" w:sz="4" w:space="0" w:color="auto"/>
            </w:tcBorders>
          </w:tcPr>
          <w:p w:rsidR="000730B7" w:rsidRPr="000730B7" w:rsidRDefault="000730B7" w:rsidP="003A0836">
            <w:pPr>
              <w:spacing w:beforeLines="50" w:line="360" w:lineRule="auto"/>
              <w:jc w:val="left"/>
              <w:rPr>
                <w:rFonts w:ascii="华文细黑" w:eastAsia="华文细黑" w:hAnsi="华文细黑" w:hint="eastAsia"/>
                <w:i/>
              </w:rPr>
            </w:pPr>
            <w:r w:rsidRPr="000730B7">
              <w:rPr>
                <w:rFonts w:ascii="华文细黑" w:eastAsia="华文细黑" w:hAnsi="华文细黑" w:hint="eastAsia"/>
                <w:i/>
              </w:rPr>
              <w:t>图1：全球股指一季度表现</w:t>
            </w:r>
          </w:p>
        </w:tc>
      </w:tr>
      <w:tr w:rsidR="000730B7" w:rsidTr="000730B7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730B7" w:rsidRDefault="000730B7" w:rsidP="003A0836">
            <w:pPr>
              <w:spacing w:beforeLines="50" w:line="360" w:lineRule="auto"/>
              <w:jc w:val="left"/>
              <w:rPr>
                <w:rFonts w:asciiTheme="minorEastAsia" w:hAnsiTheme="minorEastAsia" w:hint="eastAsia"/>
              </w:rPr>
            </w:pPr>
            <w:r w:rsidRPr="000730B7">
              <w:rPr>
                <w:rFonts w:asciiTheme="minorEastAsia" w:hAnsiTheme="minorEastAsia"/>
              </w:rPr>
              <w:drawing>
                <wp:inline distT="0" distB="0" distL="0" distR="0">
                  <wp:extent cx="4676775" cy="4267202"/>
                  <wp:effectExtent l="19050" t="0" r="0" b="0"/>
                  <wp:docPr id="3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0730B7" w:rsidTr="000730B7">
        <w:tc>
          <w:tcPr>
            <w:tcW w:w="8522" w:type="dxa"/>
            <w:tcBorders>
              <w:top w:val="single" w:sz="4" w:space="0" w:color="auto"/>
            </w:tcBorders>
          </w:tcPr>
          <w:p w:rsidR="000730B7" w:rsidRPr="004234D1" w:rsidRDefault="000730B7" w:rsidP="000730B7">
            <w:pPr>
              <w:spacing w:beforeLines="50" w:line="36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234D1">
              <w:rPr>
                <w:rFonts w:asciiTheme="minorEastAsia" w:hAnsiTheme="minorEastAsia" w:hint="eastAsia"/>
                <w:sz w:val="18"/>
                <w:szCs w:val="18"/>
              </w:rPr>
              <w:t>数据来源：众禄基金研究中心 截止2014.3.31</w:t>
            </w:r>
          </w:p>
          <w:p w:rsidR="000730B7" w:rsidRPr="000730B7" w:rsidRDefault="000730B7" w:rsidP="003A0836">
            <w:pPr>
              <w:spacing w:beforeLines="50" w:line="360" w:lineRule="auto"/>
              <w:jc w:val="left"/>
              <w:rPr>
                <w:rFonts w:asciiTheme="minorEastAsia" w:hAnsiTheme="minorEastAsia" w:hint="eastAsia"/>
              </w:rPr>
            </w:pPr>
          </w:p>
        </w:tc>
      </w:tr>
    </w:tbl>
    <w:p w:rsidR="000730B7" w:rsidRDefault="000730B7" w:rsidP="003A0836">
      <w:pPr>
        <w:spacing w:beforeLines="50" w:line="360" w:lineRule="auto"/>
        <w:jc w:val="left"/>
        <w:rPr>
          <w:rFonts w:asciiTheme="minorEastAsia" w:hAnsiTheme="minorEastAsia" w:hint="eastAsia"/>
        </w:rPr>
      </w:pPr>
    </w:p>
    <w:p w:rsidR="000E1529" w:rsidRDefault="003D7F92" w:rsidP="003A0836">
      <w:pPr>
        <w:spacing w:beforeLines="50"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一季度，阿根廷、土耳其等新兴市场金融动荡；俄罗斯乌克兰冲突事件；美联储继续缩减QE规模并</w:t>
      </w:r>
      <w:r w:rsidR="003D604D">
        <w:rPr>
          <w:rFonts w:asciiTheme="minorEastAsia" w:hAnsiTheme="minorEastAsia" w:hint="eastAsia"/>
        </w:rPr>
        <w:t>开始</w:t>
      </w:r>
      <w:r>
        <w:rPr>
          <w:rFonts w:asciiTheme="minorEastAsia" w:hAnsiTheme="minorEastAsia" w:hint="eastAsia"/>
        </w:rPr>
        <w:t>考虑加息；中美经济复苏</w:t>
      </w:r>
      <w:r w:rsidR="008D4B17">
        <w:rPr>
          <w:rFonts w:asciiTheme="minorEastAsia" w:hAnsiTheme="minorEastAsia" w:hint="eastAsia"/>
        </w:rPr>
        <w:t>情况</w:t>
      </w:r>
      <w:r>
        <w:rPr>
          <w:rFonts w:asciiTheme="minorEastAsia" w:hAnsiTheme="minorEastAsia" w:hint="eastAsia"/>
        </w:rPr>
        <w:t>等因素</w:t>
      </w:r>
      <w:r w:rsidR="00E22F58">
        <w:rPr>
          <w:rFonts w:asciiTheme="minorEastAsia" w:hAnsiTheme="minorEastAsia" w:hint="eastAsia"/>
        </w:rPr>
        <w:t>交替</w:t>
      </w:r>
      <w:r>
        <w:rPr>
          <w:rFonts w:asciiTheme="minorEastAsia" w:hAnsiTheme="minorEastAsia" w:hint="eastAsia"/>
        </w:rPr>
        <w:t>主导市场走势</w:t>
      </w:r>
      <w:r w:rsidR="00A64A71">
        <w:rPr>
          <w:rFonts w:asciiTheme="minorEastAsia" w:hAnsiTheme="minorEastAsia" w:hint="eastAsia"/>
        </w:rPr>
        <w:t>，全球股指走势大幅波动。其中港股受新兴市场走资潮以及内地经济低迷双重压力影响，跌势较重。而美股则在联储宽松的流动性支撑下继续震荡上扬，期间美国地产市场、耐用品销售等关键经济数据显示美国经济复苏动能较强，资金继续流入美股市场。</w:t>
      </w:r>
    </w:p>
    <w:p w:rsidR="00D22D7A" w:rsidRDefault="00D22D7A" w:rsidP="003A0836">
      <w:pPr>
        <w:spacing w:beforeLines="50"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一季度，受乌克兰紧张局势影响，避险资产黄金大幅上涨6.24%，至每盎司1284美元，期间一度上涨超过15%。而原油价格亦在</w:t>
      </w:r>
      <w:r w:rsidR="00701A4E">
        <w:rPr>
          <w:rFonts w:asciiTheme="minorEastAsia" w:hAnsiTheme="minorEastAsia" w:hint="eastAsia"/>
        </w:rPr>
        <w:t>需求提振</w:t>
      </w:r>
      <w:r>
        <w:rPr>
          <w:rFonts w:asciiTheme="minorEastAsia" w:hAnsiTheme="minorEastAsia" w:hint="eastAsia"/>
        </w:rPr>
        <w:t>下大幅走高，一度超过105美元每桶。但随着俄罗斯乌克兰紧张局势缓和，</w:t>
      </w:r>
      <w:r w:rsidR="00701A4E">
        <w:rPr>
          <w:rFonts w:asciiTheme="minorEastAsia" w:hAnsiTheme="minorEastAsia" w:hint="eastAsia"/>
        </w:rPr>
        <w:t>季末</w:t>
      </w:r>
      <w:r>
        <w:rPr>
          <w:rFonts w:asciiTheme="minorEastAsia" w:hAnsiTheme="minorEastAsia" w:hint="eastAsia"/>
        </w:rPr>
        <w:t>黄金、原油等商品价格均大幅回落。</w:t>
      </w:r>
    </w:p>
    <w:p w:rsidR="0031454A" w:rsidRDefault="0031454A" w:rsidP="003A0836">
      <w:pPr>
        <w:spacing w:beforeLines="50"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6623FA">
        <w:rPr>
          <w:rFonts w:asciiTheme="minorEastAsia" w:hAnsiTheme="minorEastAsia" w:hint="eastAsia"/>
        </w:rPr>
        <w:t>月美联储议息会议决议</w:t>
      </w:r>
      <w:r>
        <w:rPr>
          <w:rFonts w:asciiTheme="minorEastAsia" w:hAnsiTheme="minorEastAsia" w:hint="eastAsia"/>
        </w:rPr>
        <w:t>继续缩减每月购债规模至</w:t>
      </w:r>
      <w:r w:rsidR="00A84D5D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50亿美元，同时表示将于2015年考虑加息，一度引发市场避险情绪上升。但随后美联储主席耶伦表示将维持低利率较长一段时间，指标利率随后回落，一季度，10年期美国国债收益率较去年底回落</w:t>
      </w:r>
      <w:r w:rsidR="00A84D5D">
        <w:rPr>
          <w:rFonts w:asciiTheme="minorEastAsia" w:hAnsiTheme="minorEastAsia" w:hint="eastAsia"/>
        </w:rPr>
        <w:t>0.24个百分点至2.76%</w:t>
      </w:r>
      <w:r>
        <w:rPr>
          <w:rFonts w:asciiTheme="minorEastAsia" w:hAnsiTheme="minorEastAsia" w:hint="eastAsia"/>
        </w:rPr>
        <w:t>。于此同时，欧洲主权债券重获市场信心，德国国债、西班牙国债收益率持续下行。</w:t>
      </w:r>
    </w:p>
    <w:p w:rsidR="000A666E" w:rsidRDefault="000A666E" w:rsidP="003A0836">
      <w:pPr>
        <w:spacing w:beforeLines="50" w:line="360" w:lineRule="auto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基金方面，一季度表现最优的是房地产信托基金(REITs)，由于利率走势平稳，</w:t>
      </w:r>
      <w:r w:rsidR="00E16527">
        <w:rPr>
          <w:rFonts w:asciiTheme="minorEastAsia" w:hAnsiTheme="minorEastAsia" w:hint="eastAsia"/>
        </w:rPr>
        <w:t>楼市复苏进程良好，鹏华美国房地产、广发美国房地产、诺安全球不动产等主投美国REITs的QDII基金一季度收益普遍超过10%，其中鹏华美国房地产一季度回报10.68%，位居榜首。</w:t>
      </w:r>
      <w:r w:rsidR="00A17354">
        <w:rPr>
          <w:rFonts w:asciiTheme="minorEastAsia" w:hAnsiTheme="minorEastAsia" w:hint="eastAsia"/>
        </w:rPr>
        <w:t>其后是黄金主题基金，受避险需求提振，易方达黄金主题、诺安全球黄金以及汇添富黄金等黄金QDII基金一季度平均上涨5.71%。</w:t>
      </w:r>
      <w:r w:rsidR="00D36B42">
        <w:rPr>
          <w:rFonts w:asciiTheme="minorEastAsia" w:hAnsiTheme="minorEastAsia" w:hint="eastAsia"/>
        </w:rPr>
        <w:t>另外，</w:t>
      </w:r>
      <w:r w:rsidR="00D36B42" w:rsidRPr="00D36B42">
        <w:rPr>
          <w:rFonts w:asciiTheme="minorEastAsia" w:hAnsiTheme="minorEastAsia" w:hint="eastAsia"/>
        </w:rPr>
        <w:t>广发全球医疗保健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华宝油气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建信全球资源</w:t>
      </w:r>
      <w:r w:rsidR="00D36B42">
        <w:rPr>
          <w:rFonts w:asciiTheme="minorEastAsia" w:hAnsiTheme="minorEastAsia" w:hint="eastAsia"/>
        </w:rPr>
        <w:t>、广发全球农业等行业主题QDII基金一季度亦有不错表现。而从区域市场表现来看，美股基金整体表现要好于大中华去股票基金以及新兴市场股票基金。</w:t>
      </w:r>
      <w:r w:rsidR="00D36B42" w:rsidRPr="00D36B42">
        <w:rPr>
          <w:rFonts w:asciiTheme="minorEastAsia" w:hAnsiTheme="minorEastAsia" w:hint="eastAsia"/>
        </w:rPr>
        <w:t>易方达恒生国企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招商标普金砖四国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汇添富香港优势</w:t>
      </w:r>
      <w:r w:rsidR="00D36B42">
        <w:rPr>
          <w:rFonts w:asciiTheme="minorEastAsia" w:hAnsiTheme="minorEastAsia" w:hint="eastAsia"/>
        </w:rPr>
        <w:t>等一季度跌幅近5%。而</w:t>
      </w:r>
      <w:r w:rsidR="00D36B42" w:rsidRPr="00D36B42">
        <w:rPr>
          <w:rFonts w:asciiTheme="minorEastAsia" w:hAnsiTheme="minorEastAsia" w:hint="eastAsia"/>
        </w:rPr>
        <w:t>博时标普500ETF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国泰纳斯达克100</w:t>
      </w:r>
      <w:r w:rsidR="00D36B42">
        <w:rPr>
          <w:rFonts w:asciiTheme="minorEastAsia" w:hAnsiTheme="minorEastAsia" w:hint="eastAsia"/>
        </w:rPr>
        <w:t>等美股指数基金以及</w:t>
      </w:r>
      <w:r w:rsidR="00D36B42" w:rsidRPr="00D36B42">
        <w:rPr>
          <w:rFonts w:asciiTheme="minorEastAsia" w:hAnsiTheme="minorEastAsia" w:hint="eastAsia"/>
        </w:rPr>
        <w:t>广发亚太精选</w:t>
      </w:r>
      <w:r w:rsidR="00D36B42">
        <w:rPr>
          <w:rFonts w:asciiTheme="minorEastAsia" w:hAnsiTheme="minorEastAsia" w:hint="eastAsia"/>
        </w:rPr>
        <w:t>、</w:t>
      </w:r>
      <w:r w:rsidR="00D36B42" w:rsidRPr="00D36B42">
        <w:rPr>
          <w:rFonts w:asciiTheme="minorEastAsia" w:hAnsiTheme="minorEastAsia" w:hint="eastAsia"/>
        </w:rPr>
        <w:t>博时大中华亚太精选</w:t>
      </w:r>
      <w:r w:rsidR="00D36B42">
        <w:rPr>
          <w:rFonts w:asciiTheme="minorEastAsia" w:hAnsiTheme="minorEastAsia" w:hint="eastAsia"/>
        </w:rPr>
        <w:t>等主动选股型QDII基金表现较好。</w:t>
      </w:r>
    </w:p>
    <w:p w:rsidR="00392FB8" w:rsidRDefault="00392FB8" w:rsidP="00392FB8">
      <w:pPr>
        <w:spacing w:beforeLines="50"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另外，一季度人民币对美元持续贬值2.71%，从QDII基金投资汇兑角度来看，人民币贬值对持有投资海外市场的QDII基金较为有利。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0730B7" w:rsidTr="00542E6A">
        <w:tc>
          <w:tcPr>
            <w:tcW w:w="8522" w:type="dxa"/>
            <w:tcBorders>
              <w:bottom w:val="single" w:sz="4" w:space="0" w:color="auto"/>
            </w:tcBorders>
          </w:tcPr>
          <w:p w:rsidR="000730B7" w:rsidRPr="000730B7" w:rsidRDefault="000730B7" w:rsidP="000730B7">
            <w:pPr>
              <w:spacing w:beforeLines="50" w:line="360" w:lineRule="auto"/>
              <w:jc w:val="left"/>
              <w:rPr>
                <w:rFonts w:ascii="华文细黑" w:eastAsia="华文细黑" w:hAnsi="华文细黑" w:hint="eastAsia"/>
                <w:i/>
              </w:rPr>
            </w:pPr>
            <w:r w:rsidRPr="000730B7">
              <w:rPr>
                <w:rFonts w:ascii="华文细黑" w:eastAsia="华文细黑" w:hAnsi="华文细黑" w:hint="eastAsia"/>
                <w:i/>
              </w:rPr>
              <w:t>图</w:t>
            </w:r>
            <w:r>
              <w:rPr>
                <w:rFonts w:ascii="华文细黑" w:eastAsia="华文细黑" w:hAnsi="华文细黑" w:hint="eastAsia"/>
                <w:i/>
              </w:rPr>
              <w:t>2</w:t>
            </w:r>
            <w:r w:rsidRPr="000730B7">
              <w:rPr>
                <w:rFonts w:ascii="华文细黑" w:eastAsia="华文细黑" w:hAnsi="华文细黑" w:hint="eastAsia"/>
                <w:i/>
              </w:rPr>
              <w:t>：</w:t>
            </w:r>
            <w:r>
              <w:rPr>
                <w:rFonts w:ascii="华文细黑" w:eastAsia="华文细黑" w:hAnsi="华文细黑" w:hint="eastAsia"/>
                <w:i/>
              </w:rPr>
              <w:t>各类型QDII基金表现</w:t>
            </w:r>
          </w:p>
        </w:tc>
      </w:tr>
      <w:tr w:rsidR="000730B7" w:rsidTr="00542E6A"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0730B7" w:rsidRDefault="000730B7" w:rsidP="000730B7">
            <w:pPr>
              <w:spacing w:beforeLines="50" w:line="360" w:lineRule="auto"/>
              <w:jc w:val="left"/>
              <w:rPr>
                <w:rFonts w:asciiTheme="minorEastAsia" w:hAnsiTheme="minorEastAsia" w:hint="eastAsia"/>
              </w:rPr>
            </w:pPr>
            <w:r w:rsidRPr="000730B7">
              <w:rPr>
                <w:rFonts w:asciiTheme="minorEastAsia" w:hAnsiTheme="minorEastAsia"/>
              </w:rPr>
              <w:lastRenderedPageBreak/>
              <w:drawing>
                <wp:inline distT="0" distB="0" distL="0" distR="0">
                  <wp:extent cx="5248275" cy="3790950"/>
                  <wp:effectExtent l="0" t="0" r="0" b="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730B7" w:rsidTr="00542E6A">
        <w:tc>
          <w:tcPr>
            <w:tcW w:w="8522" w:type="dxa"/>
            <w:tcBorders>
              <w:top w:val="single" w:sz="4" w:space="0" w:color="auto"/>
            </w:tcBorders>
          </w:tcPr>
          <w:p w:rsidR="000730B7" w:rsidRPr="004234D1" w:rsidRDefault="000730B7" w:rsidP="000730B7">
            <w:pPr>
              <w:spacing w:beforeLines="50" w:line="36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234D1">
              <w:rPr>
                <w:rFonts w:asciiTheme="minorEastAsia" w:hAnsiTheme="minorEastAsia" w:hint="eastAsia"/>
                <w:sz w:val="18"/>
                <w:szCs w:val="18"/>
              </w:rPr>
              <w:t>数据来源：众禄基金研究中心 截止2014.3.31</w:t>
            </w:r>
          </w:p>
          <w:p w:rsidR="000730B7" w:rsidRPr="000730B7" w:rsidRDefault="000730B7" w:rsidP="000730B7">
            <w:pPr>
              <w:spacing w:beforeLines="50" w:line="360" w:lineRule="auto"/>
              <w:jc w:val="left"/>
              <w:rPr>
                <w:rFonts w:asciiTheme="minorEastAsia" w:hAnsiTheme="minorEastAsia" w:hint="eastAsia"/>
              </w:rPr>
            </w:pPr>
          </w:p>
        </w:tc>
      </w:tr>
    </w:tbl>
    <w:p w:rsidR="001C0898" w:rsidRPr="001C0898" w:rsidRDefault="001C0898" w:rsidP="003A0836">
      <w:pPr>
        <w:spacing w:beforeLines="50" w:line="360" w:lineRule="auto"/>
        <w:jc w:val="left"/>
        <w:rPr>
          <w:rFonts w:asciiTheme="minorEastAsia" w:hAnsiTheme="minorEastAsia"/>
          <w:sz w:val="18"/>
          <w:szCs w:val="18"/>
        </w:rPr>
      </w:pPr>
    </w:p>
    <w:p w:rsidR="000E1529" w:rsidRPr="002A09A3" w:rsidRDefault="00E05FBB" w:rsidP="003A0836">
      <w:pPr>
        <w:spacing w:beforeLines="50" w:line="360" w:lineRule="auto"/>
        <w:jc w:val="left"/>
        <w:rPr>
          <w:rFonts w:asciiTheme="minorEastAsia" w:hAnsiTheme="minorEastAsia"/>
          <w:b/>
        </w:rPr>
      </w:pPr>
      <w:r w:rsidRPr="002A09A3">
        <w:rPr>
          <w:rFonts w:asciiTheme="minorEastAsia" w:hAnsiTheme="minorEastAsia" w:hint="eastAsia"/>
          <w:b/>
        </w:rPr>
        <w:t>二季度</w:t>
      </w:r>
      <w:r w:rsidR="002A09A3" w:rsidRPr="002A09A3">
        <w:rPr>
          <w:rFonts w:asciiTheme="minorEastAsia" w:hAnsiTheme="minorEastAsia" w:hint="eastAsia"/>
          <w:b/>
        </w:rPr>
        <w:t>投资</w:t>
      </w:r>
      <w:r w:rsidRPr="002A09A3">
        <w:rPr>
          <w:rFonts w:asciiTheme="minorEastAsia" w:hAnsiTheme="minorEastAsia" w:hint="eastAsia"/>
          <w:b/>
        </w:rPr>
        <w:t>展望</w:t>
      </w:r>
    </w:p>
    <w:p w:rsidR="006623FA" w:rsidRDefault="006623FA" w:rsidP="003A0836">
      <w:pPr>
        <w:spacing w:beforeLines="5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美联储继续在较长一段时间内维持低利率政策，欧洲央行和日本央行均保留量化刺激政策的</w:t>
      </w:r>
      <w:r w:rsidR="002A09A3">
        <w:rPr>
          <w:rFonts w:asciiTheme="minorEastAsia" w:hAnsiTheme="minorEastAsia" w:hint="eastAsia"/>
        </w:rPr>
        <w:t>可能</w:t>
      </w:r>
      <w:r>
        <w:rPr>
          <w:rFonts w:asciiTheme="minorEastAsia" w:hAnsiTheme="minorEastAsia" w:hint="eastAsia"/>
        </w:rPr>
        <w:t>。全球流动性宽裕的环境仍将持续很长一段时间，资金对风险资产需求仍然旺盛。</w:t>
      </w:r>
      <w:r w:rsidR="00C650F6">
        <w:rPr>
          <w:rFonts w:asciiTheme="minorEastAsia" w:hAnsiTheme="minorEastAsia" w:hint="eastAsia"/>
        </w:rPr>
        <w:t>而美国楼市复苏进程良好，消费者支出稳步回升，经济复苏动能较强，资金仍将流入美股。但由于当前美股估值已超过历史平均水平，市场风险逐步积累，投资者需要保持密切关注。相反，虽然新兴市场股票估值较低，但由于受困经济成长前景低迷，经济结构调整困难重重，市场对其态度仍然较为谨慎。投资者可以重点关注经常账户</w:t>
      </w:r>
      <w:r w:rsidR="002A09A3">
        <w:rPr>
          <w:rFonts w:asciiTheme="minorEastAsia" w:hAnsiTheme="minorEastAsia" w:hint="eastAsia"/>
        </w:rPr>
        <w:t>持续改善</w:t>
      </w:r>
      <w:r w:rsidR="00C650F6">
        <w:rPr>
          <w:rFonts w:asciiTheme="minorEastAsia" w:hAnsiTheme="minorEastAsia" w:hint="eastAsia"/>
        </w:rPr>
        <w:t>，经济结构调整</w:t>
      </w:r>
      <w:r w:rsidR="002A09A3">
        <w:rPr>
          <w:rFonts w:asciiTheme="minorEastAsia" w:hAnsiTheme="minorEastAsia" w:hint="eastAsia"/>
        </w:rPr>
        <w:t>推进有力</w:t>
      </w:r>
      <w:r w:rsidR="00C650F6">
        <w:rPr>
          <w:rFonts w:asciiTheme="minorEastAsia" w:hAnsiTheme="minorEastAsia" w:hint="eastAsia"/>
        </w:rPr>
        <w:t>的市场，如印度、中国等</w:t>
      </w:r>
      <w:r w:rsidR="009511DF">
        <w:rPr>
          <w:rFonts w:asciiTheme="minorEastAsia" w:hAnsiTheme="minorEastAsia" w:hint="eastAsia"/>
        </w:rPr>
        <w:t>。</w:t>
      </w:r>
    </w:p>
    <w:p w:rsidR="009511DF" w:rsidRDefault="009511DF" w:rsidP="003A0836">
      <w:pPr>
        <w:spacing w:beforeLines="5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股票型QDII基金仍将是我们二季度</w:t>
      </w:r>
      <w:r w:rsidR="002A09A3">
        <w:rPr>
          <w:rFonts w:asciiTheme="minorEastAsia" w:hAnsiTheme="minorEastAsia" w:hint="eastAsia"/>
        </w:rPr>
        <w:t>关注</w:t>
      </w:r>
      <w:r w:rsidR="00723057">
        <w:rPr>
          <w:rFonts w:asciiTheme="minorEastAsia" w:hAnsiTheme="minorEastAsia" w:hint="eastAsia"/>
        </w:rPr>
        <w:t>重点，我们将择机</w:t>
      </w:r>
      <w:r>
        <w:rPr>
          <w:rFonts w:asciiTheme="minorEastAsia" w:hAnsiTheme="minorEastAsia" w:hint="eastAsia"/>
        </w:rPr>
        <w:t>优化基金组合。从中挑选出鹏华美国房地产、</w:t>
      </w:r>
      <w:r w:rsidR="00EB3228">
        <w:rPr>
          <w:rFonts w:asciiTheme="minorEastAsia" w:hAnsiTheme="minorEastAsia" w:hint="eastAsia"/>
        </w:rPr>
        <w:t>广发全球医疗保健、</w:t>
      </w:r>
      <w:r w:rsidR="00723057">
        <w:rPr>
          <w:rFonts w:asciiTheme="minorEastAsia" w:hAnsiTheme="minorEastAsia" w:hint="eastAsia"/>
        </w:rPr>
        <w:t>交银环球精选</w:t>
      </w:r>
      <w:r>
        <w:rPr>
          <w:rFonts w:asciiTheme="minorEastAsia" w:hAnsiTheme="minorEastAsia" w:hint="eastAsia"/>
        </w:rPr>
        <w:t>、</w:t>
      </w:r>
      <w:r w:rsidR="002A09A3">
        <w:rPr>
          <w:rFonts w:asciiTheme="minorEastAsia" w:hAnsiTheme="minorEastAsia" w:hint="eastAsia"/>
        </w:rPr>
        <w:t>华宝兴业中国成长、景顺长城大中华</w:t>
      </w:r>
      <w:r>
        <w:rPr>
          <w:rFonts w:asciiTheme="minorEastAsia" w:hAnsiTheme="minorEastAsia" w:hint="eastAsia"/>
        </w:rPr>
        <w:t>等基金构建QDII基金核心组合。</w:t>
      </w:r>
    </w:p>
    <w:p w:rsidR="001C274B" w:rsidRDefault="001C274B" w:rsidP="003A0836">
      <w:pPr>
        <w:spacing w:beforeLines="5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而债市方面，我们仍保持谨慎，美国即将进入加息周期，全球债市难以</w:t>
      </w:r>
      <w:r w:rsidR="002A09A3">
        <w:rPr>
          <w:rFonts w:asciiTheme="minorEastAsia" w:hAnsiTheme="minorEastAsia" w:hint="eastAsia"/>
        </w:rPr>
        <w:t>有</w:t>
      </w:r>
      <w:r>
        <w:rPr>
          <w:rFonts w:asciiTheme="minorEastAsia" w:hAnsiTheme="minorEastAsia" w:hint="eastAsia"/>
        </w:rPr>
        <w:t>较大表现，我们重点关注高收益债券基金，随着经济回升，信用利差有望进一步收窄，利好高收益债表现。本期我们将华夏海外高收益债、鹏华</w:t>
      </w:r>
      <w:r w:rsidR="00772BBB">
        <w:rPr>
          <w:rFonts w:asciiTheme="minorEastAsia" w:hAnsiTheme="minorEastAsia" w:hint="eastAsia"/>
        </w:rPr>
        <w:t>全球</w:t>
      </w:r>
      <w:r>
        <w:rPr>
          <w:rFonts w:asciiTheme="minorEastAsia" w:hAnsiTheme="minorEastAsia" w:hint="eastAsia"/>
        </w:rPr>
        <w:t>高收益债纳入卫星组合。</w:t>
      </w:r>
    </w:p>
    <w:p w:rsidR="004A501F" w:rsidRPr="00392FB8" w:rsidRDefault="00FF3F2A" w:rsidP="003A0836">
      <w:pPr>
        <w:spacing w:beforeLines="50"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二季度，我们仍需要对地缘政治风险保持密切关注，俄罗斯乌克兰冲突仍未结束，如果乌克兰东部城市进一步脱离了乌克兰，局势可能会升温，届时，黄金、日圆等避险资产有望再度走高。另外，美股近期已显疲态，受冬季恶劣天气影响， </w:t>
      </w:r>
      <w:r w:rsidR="00252B52">
        <w:rPr>
          <w:rFonts w:asciiTheme="minorEastAsia" w:hAnsiTheme="minorEastAsia" w:hint="eastAsia"/>
        </w:rPr>
        <w:t>一季度上市公司业绩可能大幅弱于预期，不排除美股借势洗盘，对于指数型美股基金需要灵活操作。</w:t>
      </w:r>
    </w:p>
    <w:sectPr w:rsidR="004A501F" w:rsidRPr="00392FB8" w:rsidSect="006C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7A2"/>
    <w:multiLevelType w:val="hybridMultilevel"/>
    <w:tmpl w:val="53E6348A"/>
    <w:lvl w:ilvl="0" w:tplc="D256E9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578"/>
    <w:rsid w:val="000118B8"/>
    <w:rsid w:val="00023037"/>
    <w:rsid w:val="000730B7"/>
    <w:rsid w:val="000A666E"/>
    <w:rsid w:val="000B4C2E"/>
    <w:rsid w:val="000E1529"/>
    <w:rsid w:val="00103E8C"/>
    <w:rsid w:val="00135043"/>
    <w:rsid w:val="0013513E"/>
    <w:rsid w:val="001778F5"/>
    <w:rsid w:val="00184E1F"/>
    <w:rsid w:val="001A36B7"/>
    <w:rsid w:val="001C0898"/>
    <w:rsid w:val="001C274B"/>
    <w:rsid w:val="001E61DA"/>
    <w:rsid w:val="002510F4"/>
    <w:rsid w:val="00252B52"/>
    <w:rsid w:val="00292887"/>
    <w:rsid w:val="002A09A3"/>
    <w:rsid w:val="002E441E"/>
    <w:rsid w:val="0031454A"/>
    <w:rsid w:val="00332B1C"/>
    <w:rsid w:val="00346B69"/>
    <w:rsid w:val="0035132E"/>
    <w:rsid w:val="00364A7F"/>
    <w:rsid w:val="00392FB8"/>
    <w:rsid w:val="003A0836"/>
    <w:rsid w:val="003C1AAE"/>
    <w:rsid w:val="003D604D"/>
    <w:rsid w:val="003D7F92"/>
    <w:rsid w:val="003F51A2"/>
    <w:rsid w:val="004234D1"/>
    <w:rsid w:val="00450C38"/>
    <w:rsid w:val="00493CD6"/>
    <w:rsid w:val="004A501F"/>
    <w:rsid w:val="004E497C"/>
    <w:rsid w:val="005F5533"/>
    <w:rsid w:val="006109DE"/>
    <w:rsid w:val="00610FD8"/>
    <w:rsid w:val="0061222E"/>
    <w:rsid w:val="006361F8"/>
    <w:rsid w:val="006623FA"/>
    <w:rsid w:val="006826AB"/>
    <w:rsid w:val="00696172"/>
    <w:rsid w:val="006B5EE4"/>
    <w:rsid w:val="006C34C4"/>
    <w:rsid w:val="006E2B5C"/>
    <w:rsid w:val="00701A4E"/>
    <w:rsid w:val="00702756"/>
    <w:rsid w:val="00723057"/>
    <w:rsid w:val="00725FE7"/>
    <w:rsid w:val="00760722"/>
    <w:rsid w:val="00772BBB"/>
    <w:rsid w:val="00797A70"/>
    <w:rsid w:val="007B3ACE"/>
    <w:rsid w:val="00804DE0"/>
    <w:rsid w:val="00843304"/>
    <w:rsid w:val="008552AA"/>
    <w:rsid w:val="0088081F"/>
    <w:rsid w:val="008829E3"/>
    <w:rsid w:val="00882CCE"/>
    <w:rsid w:val="00885D99"/>
    <w:rsid w:val="008B0602"/>
    <w:rsid w:val="008D4B17"/>
    <w:rsid w:val="00942827"/>
    <w:rsid w:val="009511DF"/>
    <w:rsid w:val="00957F04"/>
    <w:rsid w:val="009766D0"/>
    <w:rsid w:val="009823E9"/>
    <w:rsid w:val="009E6468"/>
    <w:rsid w:val="00A17354"/>
    <w:rsid w:val="00A17860"/>
    <w:rsid w:val="00A64A71"/>
    <w:rsid w:val="00A65CF5"/>
    <w:rsid w:val="00A84D5D"/>
    <w:rsid w:val="00A92BC4"/>
    <w:rsid w:val="00AA1060"/>
    <w:rsid w:val="00AA6C6C"/>
    <w:rsid w:val="00B104EF"/>
    <w:rsid w:val="00BB738D"/>
    <w:rsid w:val="00BF1AF7"/>
    <w:rsid w:val="00BF2B86"/>
    <w:rsid w:val="00C3123A"/>
    <w:rsid w:val="00C40418"/>
    <w:rsid w:val="00C650F6"/>
    <w:rsid w:val="00C86C0E"/>
    <w:rsid w:val="00CA60DB"/>
    <w:rsid w:val="00CB1638"/>
    <w:rsid w:val="00CC578C"/>
    <w:rsid w:val="00D22D7A"/>
    <w:rsid w:val="00D36B42"/>
    <w:rsid w:val="00D538E8"/>
    <w:rsid w:val="00DD3F7D"/>
    <w:rsid w:val="00E009B7"/>
    <w:rsid w:val="00E05FBB"/>
    <w:rsid w:val="00E16527"/>
    <w:rsid w:val="00E22F58"/>
    <w:rsid w:val="00E24735"/>
    <w:rsid w:val="00E771E9"/>
    <w:rsid w:val="00E82616"/>
    <w:rsid w:val="00EB3228"/>
    <w:rsid w:val="00ED4E8C"/>
    <w:rsid w:val="00ED7578"/>
    <w:rsid w:val="00EE76C1"/>
    <w:rsid w:val="00F67FF3"/>
    <w:rsid w:val="00FC3963"/>
    <w:rsid w:val="00FD24F9"/>
    <w:rsid w:val="00FF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82CC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2CCE"/>
    <w:rPr>
      <w:sz w:val="18"/>
      <w:szCs w:val="18"/>
    </w:rPr>
  </w:style>
  <w:style w:type="table" w:styleId="a5">
    <w:name w:val="Table Grid"/>
    <w:basedOn w:val="a1"/>
    <w:uiPriority w:val="59"/>
    <w:rsid w:val="00073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QD&#22522;&#37329;&#30446;&#24405;&#65288;&#25130;&#27490;2014.3.31.&#21516;&#33457;&#39034;&#6528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QD&#22522;&#37329;&#30446;&#24405;&#65288;&#25130;&#27490;2014.3.31.&#21516;&#33457;&#39034;&#6528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0771062992125985"/>
          <c:y val="7.8911564625850333E-2"/>
          <c:w val="0.74081714785651798"/>
          <c:h val="0.85292067063045907"/>
        </c:manualLayout>
      </c:layout>
      <c:barChart>
        <c:barDir val="bar"/>
        <c:grouping val="clustered"/>
        <c:ser>
          <c:idx val="0"/>
          <c:order val="0"/>
          <c:tx>
            <c:strRef>
              <c:f>全球指数!$C$1</c:f>
              <c:strCache>
                <c:ptCount val="1"/>
                <c:pt idx="0">
                  <c:v>3月收益</c:v>
                </c:pt>
              </c:strCache>
            </c:strRef>
          </c:tx>
          <c:dLbls>
            <c:dLbl>
              <c:idx val="1"/>
              <c:layout>
                <c:manualLayout>
                  <c:x val="6.9444444444444503E-2"/>
                  <c:y val="-9.9772090054688742E-17"/>
                </c:manualLayout>
              </c:layout>
              <c:showVal val="1"/>
            </c:dLbl>
            <c:dLbl>
              <c:idx val="2"/>
              <c:layout>
                <c:manualLayout>
                  <c:x val="5.8333333333333487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5000000000000029E-2"/>
                  <c:y val="-2.7210884353741477E-3"/>
                </c:manualLayout>
              </c:layout>
              <c:showVal val="1"/>
            </c:dLbl>
            <c:dLbl>
              <c:idx val="7"/>
              <c:layout>
                <c:manualLayout>
                  <c:x val="0.10277777777777777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4.7222222222222332E-2"/>
                  <c:y val="-2.4943022513672195E-17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solidFill>
                      <a:schemeClr val="tx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全球指数!$B$2:$B$16</c:f>
              <c:strCache>
                <c:ptCount val="15"/>
                <c:pt idx="0">
                  <c:v>印度孟买Sensex30指数</c:v>
                </c:pt>
                <c:pt idx="1">
                  <c:v>台湾加权指数</c:v>
                </c:pt>
                <c:pt idx="2">
                  <c:v>法国巴黎CAC40指数</c:v>
                </c:pt>
                <c:pt idx="3">
                  <c:v>标准普尔500指数</c:v>
                </c:pt>
                <c:pt idx="4">
                  <c:v>新加坡海峡指数</c:v>
                </c:pt>
                <c:pt idx="5">
                  <c:v>纳斯达克综合指数</c:v>
                </c:pt>
                <c:pt idx="6">
                  <c:v>德国法兰克福DAX指数</c:v>
                </c:pt>
                <c:pt idx="7">
                  <c:v>道琼斯工业平均指数</c:v>
                </c:pt>
                <c:pt idx="8">
                  <c:v>韩国综合指数</c:v>
                </c:pt>
                <c:pt idx="9">
                  <c:v>英国富时100指数</c:v>
                </c:pt>
                <c:pt idx="10">
                  <c:v>上证指数</c:v>
                </c:pt>
                <c:pt idx="11">
                  <c:v>恒生指数</c:v>
                </c:pt>
                <c:pt idx="12">
                  <c:v>恒生国企指数</c:v>
                </c:pt>
                <c:pt idx="13">
                  <c:v>东京日经225指数</c:v>
                </c:pt>
                <c:pt idx="14">
                  <c:v>俄罗斯RTS指数</c:v>
                </c:pt>
              </c:strCache>
            </c:strRef>
          </c:cat>
          <c:val>
            <c:numRef>
              <c:f>全球指数!$C$2:$C$16</c:f>
              <c:numCache>
                <c:formatCode>0.00%</c:formatCode>
                <c:ptCount val="15"/>
                <c:pt idx="0">
                  <c:v>5.9949943466229984E-2</c:v>
                </c:pt>
                <c:pt idx="1">
                  <c:v>2.4272013222865006E-2</c:v>
                </c:pt>
                <c:pt idx="2">
                  <c:v>-3.761274750004501E-3</c:v>
                </c:pt>
                <c:pt idx="3">
                  <c:v>6.932157358358601E-3</c:v>
                </c:pt>
                <c:pt idx="4">
                  <c:v>2.502266312629E-2</c:v>
                </c:pt>
                <c:pt idx="5">
                  <c:v>-2.5330080250800996E-2</c:v>
                </c:pt>
                <c:pt idx="6">
                  <c:v>-1.4049615768751E-2</c:v>
                </c:pt>
                <c:pt idx="7">
                  <c:v>8.329396858540004E-3</c:v>
                </c:pt>
                <c:pt idx="8">
                  <c:v>2.8383981737280998E-3</c:v>
                </c:pt>
                <c:pt idx="9">
                  <c:v>-3.1033672555325013E-2</c:v>
                </c:pt>
                <c:pt idx="10">
                  <c:v>-1.1183182236850003E-2</c:v>
                </c:pt>
                <c:pt idx="11">
                  <c:v>-3.0034645592058002E-2</c:v>
                </c:pt>
                <c:pt idx="12">
                  <c:v>1.8569629032030004E-2</c:v>
                </c:pt>
                <c:pt idx="13">
                  <c:v>-8.9211896446818014E-4</c:v>
                </c:pt>
                <c:pt idx="14">
                  <c:v>-3.2487157432907005E-2</c:v>
                </c:pt>
              </c:numCache>
            </c:numRef>
          </c:val>
        </c:ser>
        <c:ser>
          <c:idx val="1"/>
          <c:order val="1"/>
          <c:tx>
            <c:strRef>
              <c:f>全球指数!$D$1</c:f>
              <c:strCache>
                <c:ptCount val="1"/>
                <c:pt idx="0">
                  <c:v>一季度收益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8.9285672438286588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8.9285672438286588E-3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solidFill>
                      <a:schemeClr val="accent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全球指数!$B$2:$B$16</c:f>
              <c:strCache>
                <c:ptCount val="15"/>
                <c:pt idx="0">
                  <c:v>印度孟买Sensex30指数</c:v>
                </c:pt>
                <c:pt idx="1">
                  <c:v>台湾加权指数</c:v>
                </c:pt>
                <c:pt idx="2">
                  <c:v>法国巴黎CAC40指数</c:v>
                </c:pt>
                <c:pt idx="3">
                  <c:v>标准普尔500指数</c:v>
                </c:pt>
                <c:pt idx="4">
                  <c:v>新加坡海峡指数</c:v>
                </c:pt>
                <c:pt idx="5">
                  <c:v>纳斯达克综合指数</c:v>
                </c:pt>
                <c:pt idx="6">
                  <c:v>德国法兰克福DAX指数</c:v>
                </c:pt>
                <c:pt idx="7">
                  <c:v>道琼斯工业平均指数</c:v>
                </c:pt>
                <c:pt idx="8">
                  <c:v>韩国综合指数</c:v>
                </c:pt>
                <c:pt idx="9">
                  <c:v>英国富时100指数</c:v>
                </c:pt>
                <c:pt idx="10">
                  <c:v>上证指数</c:v>
                </c:pt>
                <c:pt idx="11">
                  <c:v>恒生指数</c:v>
                </c:pt>
                <c:pt idx="12">
                  <c:v>恒生国企指数</c:v>
                </c:pt>
                <c:pt idx="13">
                  <c:v>东京日经225指数</c:v>
                </c:pt>
                <c:pt idx="14">
                  <c:v>俄罗斯RTS指数</c:v>
                </c:pt>
              </c:strCache>
            </c:strRef>
          </c:cat>
          <c:val>
            <c:numRef>
              <c:f>全球指数!$D$2:$D$16</c:f>
              <c:numCache>
                <c:formatCode>0.00%</c:formatCode>
                <c:ptCount val="15"/>
                <c:pt idx="0">
                  <c:v>5.7418561897870014E-2</c:v>
                </c:pt>
                <c:pt idx="1">
                  <c:v>2.7610721000150003E-2</c:v>
                </c:pt>
                <c:pt idx="2">
                  <c:v>2.2241878979038007E-2</c:v>
                </c:pt>
                <c:pt idx="3">
                  <c:v>1.2973663139214999E-2</c:v>
                </c:pt>
                <c:pt idx="4">
                  <c:v>6.6899663133834003E-3</c:v>
                </c:pt>
                <c:pt idx="5">
                  <c:v>5.3641846578187987E-3</c:v>
                </c:pt>
                <c:pt idx="6">
                  <c:v>3.925813637962501E-4</c:v>
                </c:pt>
                <c:pt idx="7">
                  <c:v>-7.1787682198947017E-3</c:v>
                </c:pt>
                <c:pt idx="8">
                  <c:v>-1.2792466713733E-2</c:v>
                </c:pt>
                <c:pt idx="9">
                  <c:v>-2.2331899559793002E-2</c:v>
                </c:pt>
                <c:pt idx="10">
                  <c:v>-3.9070349502689006E-2</c:v>
                </c:pt>
                <c:pt idx="11">
                  <c:v>-4.9571383641997001E-2</c:v>
                </c:pt>
                <c:pt idx="12">
                  <c:v>-6.851242679920902E-2</c:v>
                </c:pt>
                <c:pt idx="13">
                  <c:v>-8.983194107778901E-2</c:v>
                </c:pt>
                <c:pt idx="14">
                  <c:v>-0.15015283524983997</c:v>
                </c:pt>
              </c:numCache>
            </c:numRef>
          </c:val>
        </c:ser>
        <c:axId val="295802368"/>
        <c:axId val="295803904"/>
      </c:barChart>
      <c:catAx>
        <c:axId val="295802368"/>
        <c:scaling>
          <c:orientation val="minMax"/>
        </c:scaling>
        <c:axPos val="l"/>
        <c:tickLblPos val="low"/>
        <c:crossAx val="295803904"/>
        <c:crosses val="autoZero"/>
        <c:auto val="1"/>
        <c:lblAlgn val="ctr"/>
        <c:lblOffset val="100"/>
      </c:catAx>
      <c:valAx>
        <c:axId val="295803904"/>
        <c:scaling>
          <c:orientation val="minMax"/>
        </c:scaling>
        <c:axPos val="b"/>
        <c:majorGridlines>
          <c:spPr>
            <a:ln>
              <a:solidFill>
                <a:schemeClr val="bg1">
                  <a:lumMod val="65000"/>
                </a:schemeClr>
              </a:solidFill>
              <a:prstDash val="dash"/>
            </a:ln>
          </c:spPr>
        </c:majorGridlines>
        <c:numFmt formatCode="0.00%" sourceLinked="1"/>
        <c:tickLblPos val="nextTo"/>
        <c:crossAx val="295802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2097550306211722E-3"/>
          <c:y val="4.5362901065938536E-3"/>
          <c:w val="0.99479024496937885"/>
          <c:h val="6.5581000082726104E-2"/>
        </c:manualLayout>
      </c:layout>
      <c:spPr>
        <a:ln>
          <a:noFill/>
        </a:ln>
      </c:spPr>
    </c:legend>
    <c:plotVisOnly val="1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0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0315229827040851"/>
          <c:y val="6.7659833660033003E-2"/>
          <c:w val="0.74904708706283563"/>
          <c:h val="0.84448187647430351"/>
        </c:manualLayout>
      </c:layout>
      <c:barChart>
        <c:barDir val="bar"/>
        <c:grouping val="clustered"/>
        <c:ser>
          <c:idx val="0"/>
          <c:order val="0"/>
          <c:tx>
            <c:strRef>
              <c:f>基金图表1!$K$4</c:f>
              <c:strCache>
                <c:ptCount val="1"/>
                <c:pt idx="0">
                  <c:v>3月收益</c:v>
                </c:pt>
              </c:strCache>
            </c:strRef>
          </c:tx>
          <c:dLbls>
            <c:dLbl>
              <c:idx val="1"/>
              <c:layout>
                <c:manualLayout>
                  <c:x val="2.365322014831361E-2"/>
                  <c:y val="-3.2362459546925572E-3"/>
                </c:manualLayout>
              </c:layout>
              <c:showVal val="1"/>
            </c:dLbl>
            <c:dLbl>
              <c:idx val="2"/>
              <c:layout>
                <c:manualLayout>
                  <c:x val="4.4611989795702014E-3"/>
                  <c:y val="9.7087378640776708E-3"/>
                </c:manualLayout>
              </c:layout>
              <c:showVal val="1"/>
            </c:dLbl>
            <c:dLbl>
              <c:idx val="4"/>
              <c:layout>
                <c:manualLayout>
                  <c:x val="1.6919639031864261E-2"/>
                  <c:y val="1.3460234946359921E-2"/>
                </c:manualLayout>
              </c:layout>
              <c:showVal val="1"/>
            </c:dLbl>
            <c:dLbl>
              <c:idx val="5"/>
              <c:layout>
                <c:manualLayout>
                  <c:x val="2.9629623345343543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2.9629623345343543E-2"/>
                  <c:y val="3.2362459546925572E-3"/>
                </c:manualLayout>
              </c:layout>
              <c:showVal val="1"/>
            </c:dLbl>
            <c:dLbl>
              <c:idx val="7"/>
              <c:layout>
                <c:manualLayout>
                  <c:x val="1.6583044813903911E-2"/>
                  <c:y val="2.5889967637540531E-2"/>
                </c:manualLayout>
              </c:layout>
              <c:showVal val="1"/>
            </c:dLbl>
            <c:dLbl>
              <c:idx val="8"/>
              <c:layout>
                <c:manualLayout>
                  <c:x val="6.819055262535006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-1.8855214856127712E-2"/>
                  <c:y val="6.4724919093851301E-3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tx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基金图表1!$J$5:$J$14</c:f>
              <c:strCache>
                <c:ptCount val="10"/>
                <c:pt idx="0">
                  <c:v>新兴市场股票</c:v>
                </c:pt>
                <c:pt idx="1">
                  <c:v>混合型</c:v>
                </c:pt>
                <c:pt idx="2">
                  <c:v>房地产信托基金</c:v>
                </c:pt>
                <c:pt idx="3">
                  <c:v>行业股票</c:v>
                </c:pt>
                <c:pt idx="4">
                  <c:v>债券型</c:v>
                </c:pt>
                <c:pt idx="5">
                  <c:v>美国股票</c:v>
                </c:pt>
                <c:pt idx="6">
                  <c:v>商品型</c:v>
                </c:pt>
                <c:pt idx="7">
                  <c:v>大中华区股票</c:v>
                </c:pt>
                <c:pt idx="8">
                  <c:v>全球股票</c:v>
                </c:pt>
                <c:pt idx="9">
                  <c:v>亚太区股票</c:v>
                </c:pt>
              </c:strCache>
            </c:strRef>
          </c:cat>
          <c:val>
            <c:numRef>
              <c:f>基金图表1!$K$5:$K$14</c:f>
              <c:numCache>
                <c:formatCode>0.00%</c:formatCode>
                <c:ptCount val="10"/>
                <c:pt idx="0">
                  <c:v>9.3777676959878355E-3</c:v>
                </c:pt>
                <c:pt idx="1">
                  <c:v>6.2761506276151008E-3</c:v>
                </c:pt>
                <c:pt idx="2">
                  <c:v>5.9187313221546779E-3</c:v>
                </c:pt>
                <c:pt idx="3">
                  <c:v>-2.4433171284734736E-3</c:v>
                </c:pt>
                <c:pt idx="4">
                  <c:v>-4.1147558947394747E-3</c:v>
                </c:pt>
                <c:pt idx="5">
                  <c:v>-5.559051344684751E-3</c:v>
                </c:pt>
                <c:pt idx="6">
                  <c:v>-1.1153767824366957E-2</c:v>
                </c:pt>
                <c:pt idx="7">
                  <c:v>-1.337664405343284E-2</c:v>
                </c:pt>
                <c:pt idx="8">
                  <c:v>-1.5858713161006718E-2</c:v>
                </c:pt>
                <c:pt idx="9">
                  <c:v>-2.0820567152383646E-2</c:v>
                </c:pt>
              </c:numCache>
            </c:numRef>
          </c:val>
        </c:ser>
        <c:ser>
          <c:idx val="1"/>
          <c:order val="1"/>
          <c:tx>
            <c:strRef>
              <c:f>基金图表1!$L$4</c:f>
              <c:strCache>
                <c:ptCount val="1"/>
                <c:pt idx="0">
                  <c:v>一季度收益</c:v>
                </c:pt>
              </c:strCache>
            </c:strRef>
          </c:tx>
          <c:dLbls>
            <c:dLbl>
              <c:idx val="7"/>
              <c:layout>
                <c:manualLayout>
                  <c:x val="-8.080806366911877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accent2"/>
                    </a:solidFill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strRef>
              <c:f>基金图表1!$J$5:$J$14</c:f>
              <c:strCache>
                <c:ptCount val="10"/>
                <c:pt idx="0">
                  <c:v>新兴市场股票</c:v>
                </c:pt>
                <c:pt idx="1">
                  <c:v>混合型</c:v>
                </c:pt>
                <c:pt idx="2">
                  <c:v>房地产信托基金</c:v>
                </c:pt>
                <c:pt idx="3">
                  <c:v>行业股票</c:v>
                </c:pt>
                <c:pt idx="4">
                  <c:v>债券型</c:v>
                </c:pt>
                <c:pt idx="5">
                  <c:v>美国股票</c:v>
                </c:pt>
                <c:pt idx="6">
                  <c:v>商品型</c:v>
                </c:pt>
                <c:pt idx="7">
                  <c:v>大中华区股票</c:v>
                </c:pt>
                <c:pt idx="8">
                  <c:v>全球股票</c:v>
                </c:pt>
                <c:pt idx="9">
                  <c:v>亚太区股票</c:v>
                </c:pt>
              </c:strCache>
            </c:strRef>
          </c:cat>
          <c:val>
            <c:numRef>
              <c:f>基金图表1!$L$5:$L$14</c:f>
              <c:numCache>
                <c:formatCode>0.00%</c:formatCode>
                <c:ptCount val="10"/>
                <c:pt idx="0">
                  <c:v>-1.5082016369804885E-2</c:v>
                </c:pt>
                <c:pt idx="1">
                  <c:v>-9.2687950566426019E-3</c:v>
                </c:pt>
                <c:pt idx="2">
                  <c:v>9.5034492731524756E-2</c:v>
                </c:pt>
                <c:pt idx="3">
                  <c:v>7.0876159690423067E-3</c:v>
                </c:pt>
                <c:pt idx="4">
                  <c:v>-1.8433015149251373E-3</c:v>
                </c:pt>
                <c:pt idx="5">
                  <c:v>1.6873489168520005E-2</c:v>
                </c:pt>
                <c:pt idx="6">
                  <c:v>6.1300633654735731E-2</c:v>
                </c:pt>
                <c:pt idx="7">
                  <c:v>-1.8559849011087905E-2</c:v>
                </c:pt>
                <c:pt idx="8">
                  <c:v>2.7385601138768915E-3</c:v>
                </c:pt>
                <c:pt idx="9">
                  <c:v>5.0766255614680738E-3</c:v>
                </c:pt>
              </c:numCache>
            </c:numRef>
          </c:val>
        </c:ser>
        <c:axId val="297613568"/>
        <c:axId val="298074880"/>
      </c:barChart>
      <c:catAx>
        <c:axId val="297613568"/>
        <c:scaling>
          <c:orientation val="minMax"/>
        </c:scaling>
        <c:axPos val="l"/>
        <c:tickLblPos val="low"/>
        <c:crossAx val="298074880"/>
        <c:crosses val="autoZero"/>
        <c:auto val="1"/>
        <c:lblAlgn val="ctr"/>
        <c:lblOffset val="100"/>
      </c:catAx>
      <c:valAx>
        <c:axId val="298074880"/>
        <c:scaling>
          <c:orientation val="minMax"/>
        </c:scaling>
        <c:axPos val="b"/>
        <c:majorGridlines>
          <c:spPr>
            <a:ln>
              <a:solidFill>
                <a:schemeClr val="bg1">
                  <a:lumMod val="65000"/>
                </a:schemeClr>
              </a:solidFill>
              <a:prstDash val="dash"/>
            </a:ln>
          </c:spPr>
        </c:majorGridlines>
        <c:numFmt formatCode="0.00%" sourceLinked="1"/>
        <c:tickLblPos val="nextTo"/>
        <c:crossAx val="29761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2097550306211687E-3"/>
          <c:y val="7.3493028561303379E-3"/>
          <c:w val="0.98685923233954975"/>
          <c:h val="6.2351130159362993E-2"/>
        </c:manualLayout>
      </c:layout>
      <c:spPr>
        <a:ln>
          <a:noFill/>
        </a:ln>
      </c:spPr>
    </c:legend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fanjie</dc:creator>
  <cp:lastModifiedBy>fanjie</cp:lastModifiedBy>
  <cp:revision>5</cp:revision>
  <cp:lastPrinted>2014-04-09T03:08:00Z</cp:lastPrinted>
  <dcterms:created xsi:type="dcterms:W3CDTF">2014-04-09T03:24:00Z</dcterms:created>
  <dcterms:modified xsi:type="dcterms:W3CDTF">2014-04-09T03:26:00Z</dcterms:modified>
</cp:coreProperties>
</file>