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37" w:tblpY="-2806"/>
        <w:tblW w:w="4113" w:type="dxa"/>
        <w:shd w:val="clear" w:color="auto" w:fill="E0E0E0"/>
        <w:tblLayout w:type="fixed"/>
        <w:tblLook w:val="01E0"/>
      </w:tblPr>
      <w:tblGrid>
        <w:gridCol w:w="534"/>
        <w:gridCol w:w="519"/>
        <w:gridCol w:w="1035"/>
        <w:gridCol w:w="1800"/>
        <w:gridCol w:w="225"/>
      </w:tblGrid>
      <w:tr w:rsidR="00BE3940" w:rsidRPr="00F57D27">
        <w:trPr>
          <w:gridAfter w:val="1"/>
          <w:wAfter w:w="225" w:type="dxa"/>
          <w:trHeight w:val="284"/>
        </w:trPr>
        <w:tc>
          <w:tcPr>
            <w:tcW w:w="534" w:type="dxa"/>
          </w:tcPr>
          <w:p w:rsidR="00BE3940" w:rsidRPr="00F57D27" w:rsidRDefault="00A422E1" w:rsidP="00BE3940">
            <w:pPr>
              <w:rPr>
                <w:rFonts w:eastAsia="楷体_GB2312"/>
                <w:b/>
                <w:color w:val="003366"/>
                <w:sz w:val="24"/>
              </w:rPr>
            </w:pPr>
            <w:r>
              <w:rPr>
                <w:rFonts w:eastAsia="楷体_GB2312" w:hint="eastAsia"/>
                <w:b/>
                <w:color w:val="003366"/>
                <w:sz w:val="24"/>
              </w:rPr>
              <w:t>给你</w:t>
            </w:r>
          </w:p>
        </w:tc>
        <w:tc>
          <w:tcPr>
            <w:tcW w:w="1554" w:type="dxa"/>
            <w:gridSpan w:val="2"/>
          </w:tcPr>
          <w:p w:rsidR="00BE3940" w:rsidRPr="00F57D27" w:rsidRDefault="00BE3940" w:rsidP="00BE3940">
            <w:pPr>
              <w:rPr>
                <w:rFonts w:eastAsia="楷体_GB2312"/>
                <w:b/>
                <w:color w:val="003366"/>
                <w:sz w:val="24"/>
              </w:rPr>
            </w:pPr>
          </w:p>
          <w:p w:rsidR="00BE3940" w:rsidRPr="00F57D27" w:rsidRDefault="00BE3940" w:rsidP="00BE3940">
            <w:pPr>
              <w:rPr>
                <w:rFonts w:eastAsia="楷体_GB2312"/>
                <w:b/>
                <w:color w:val="003366"/>
                <w:sz w:val="24"/>
              </w:rPr>
            </w:pPr>
          </w:p>
          <w:p w:rsidR="00BE3940" w:rsidRPr="00F57D27" w:rsidRDefault="00BE3940" w:rsidP="00BE3940">
            <w:pPr>
              <w:rPr>
                <w:rFonts w:eastAsia="楷体_GB2312"/>
                <w:b/>
                <w:color w:val="003366"/>
                <w:sz w:val="24"/>
              </w:rPr>
            </w:pPr>
          </w:p>
        </w:tc>
        <w:tc>
          <w:tcPr>
            <w:tcW w:w="1800" w:type="dxa"/>
            <w:vAlign w:val="center"/>
          </w:tcPr>
          <w:p w:rsidR="00BE3940" w:rsidRPr="00F57D27" w:rsidRDefault="0005024E" w:rsidP="00BE3940">
            <w:pPr>
              <w:rPr>
                <w:rFonts w:eastAsia="楷体_GB2312"/>
                <w:b/>
                <w:color w:val="003366"/>
                <w:sz w:val="24"/>
              </w:rPr>
            </w:pPr>
            <w:r w:rsidRPr="0005024E">
              <w:rPr>
                <w:rFonts w:ascii="黑体" w:eastAsia="黑体" w:hAnsi="宋体"/>
                <w:b/>
                <w:noProof/>
                <w:color w:val="003366"/>
                <w:sz w:val="24"/>
              </w:rPr>
              <w:pict>
                <v:shapetype id="_x0000_t202" coordsize="21600,21600" o:spt="202" path="m,l,21600r21600,l21600,xe">
                  <v:stroke joinstyle="miter"/>
                  <v:path gradientshapeok="t" o:connecttype="rect"/>
                </v:shapetype>
                <v:shape id="_x0000_s1033" type="#_x0000_t202" style="position:absolute;left:0;text-align:left;margin-left:66.6pt;margin-top:-.05pt;width:428.4pt;height:31.2pt;z-index:251657728;mso-position-horizontal-relative:text;mso-position-vertical-relative:text" fillcolor="#f00000" stroked="f">
                  <v:textbox style="mso-next-textbox:#_x0000_s1033">
                    <w:txbxContent>
                      <w:p w:rsidR="00A422E1" w:rsidRPr="00FC770C" w:rsidRDefault="00A422E1" w:rsidP="00BE3940">
                        <w:pPr>
                          <w:ind w:firstLine="281"/>
                          <w:rPr>
                            <w:rFonts w:ascii="楷体_GB2312" w:eastAsia="楷体_GB2312" w:hAnsi="宋体-18030" w:cs="宋体-18030"/>
                            <w:b/>
                            <w:color w:val="FFFFFF"/>
                            <w:sz w:val="28"/>
                            <w:szCs w:val="28"/>
                          </w:rPr>
                        </w:pPr>
                        <w:r>
                          <w:rPr>
                            <w:rFonts w:ascii="楷体_GB2312" w:eastAsia="楷体_GB2312" w:hAnsi="宋体-18030" w:cs="宋体-18030" w:hint="eastAsia"/>
                            <w:b/>
                            <w:color w:val="FFFFFF"/>
                            <w:sz w:val="28"/>
                            <w:szCs w:val="28"/>
                          </w:rPr>
                          <w:t xml:space="preserve">                        </w:t>
                        </w:r>
                        <w:r w:rsidRPr="00FC770C">
                          <w:rPr>
                            <w:rFonts w:ascii="楷体_GB2312" w:eastAsia="楷体_GB2312" w:hAnsi="宋体-18030" w:cs="宋体-18030" w:hint="eastAsia"/>
                            <w:b/>
                            <w:color w:val="FFFFFF"/>
                            <w:sz w:val="28"/>
                            <w:szCs w:val="28"/>
                          </w:rPr>
                          <w:t>证券投资基金研究报告/ 基金策略</w:t>
                        </w:r>
                      </w:p>
                    </w:txbxContent>
                  </v:textbox>
                </v:shape>
              </w:pict>
            </w:r>
          </w:p>
        </w:tc>
      </w:tr>
      <w:tr w:rsidR="00BE3940" w:rsidRPr="00F57D27">
        <w:trPr>
          <w:gridAfter w:val="1"/>
          <w:wAfter w:w="225" w:type="dxa"/>
          <w:trHeight w:val="284"/>
        </w:trPr>
        <w:tc>
          <w:tcPr>
            <w:tcW w:w="534" w:type="dxa"/>
            <w:shd w:val="clear" w:color="auto" w:fill="CDD7FA"/>
          </w:tcPr>
          <w:p w:rsidR="00BE3940" w:rsidRPr="00F57D27" w:rsidRDefault="00BE3940" w:rsidP="00BE3940">
            <w:pPr>
              <w:rPr>
                <w:rFonts w:eastAsia="楷体_GB2312"/>
                <w:b/>
                <w:color w:val="003366"/>
                <w:sz w:val="24"/>
              </w:rPr>
            </w:pPr>
          </w:p>
        </w:tc>
        <w:tc>
          <w:tcPr>
            <w:tcW w:w="3354" w:type="dxa"/>
            <w:gridSpan w:val="3"/>
            <w:shd w:val="clear" w:color="auto" w:fill="CDD7FA"/>
            <w:vAlign w:val="center"/>
          </w:tcPr>
          <w:p w:rsidR="00BE3940" w:rsidRPr="00F57D27" w:rsidRDefault="00BE3940" w:rsidP="00BE3940">
            <w:pPr>
              <w:rPr>
                <w:rFonts w:eastAsia="楷体_GB2312"/>
                <w:b/>
                <w:color w:val="003366"/>
                <w:sz w:val="24"/>
              </w:rPr>
            </w:pPr>
          </w:p>
        </w:tc>
      </w:tr>
      <w:tr w:rsidR="00BE3940" w:rsidRPr="00F57D27">
        <w:trPr>
          <w:gridAfter w:val="1"/>
          <w:wAfter w:w="225" w:type="dxa"/>
          <w:trHeight w:val="284"/>
        </w:trPr>
        <w:tc>
          <w:tcPr>
            <w:tcW w:w="534" w:type="dxa"/>
            <w:shd w:val="clear" w:color="auto" w:fill="CDD7FA"/>
          </w:tcPr>
          <w:p w:rsidR="00BE3940" w:rsidRPr="00F57D27" w:rsidRDefault="00632D04" w:rsidP="00BE3940">
            <w:pPr>
              <w:rPr>
                <w:rFonts w:eastAsia="楷体_GB2312"/>
                <w:b/>
                <w:color w:val="003366"/>
                <w:sz w:val="24"/>
              </w:rPr>
            </w:pPr>
            <w:r>
              <w:rPr>
                <w:rFonts w:eastAsia="楷体_GB2312" w:hint="eastAsia"/>
                <w:noProof/>
                <w:sz w:val="24"/>
              </w:rPr>
              <w:drawing>
                <wp:anchor distT="0" distB="0" distL="114300" distR="114300" simplePos="0" relativeHeight="251658752" behindDoc="0" locked="0" layoutInCell="1" allowOverlap="1">
                  <wp:simplePos x="0" y="0"/>
                  <wp:positionH relativeFrom="column">
                    <wp:posOffset>226695</wp:posOffset>
                  </wp:positionH>
                  <wp:positionV relativeFrom="paragraph">
                    <wp:posOffset>-3810</wp:posOffset>
                  </wp:positionV>
                  <wp:extent cx="1714500" cy="814705"/>
                  <wp:effectExtent l="0" t="0" r="0" b="0"/>
                  <wp:wrapNone/>
                  <wp:docPr id="11"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clrChange>
                              <a:clrFrom>
                                <a:srgbClr val="D2D2FF"/>
                              </a:clrFrom>
                              <a:clrTo>
                                <a:srgbClr val="D2D2FF">
                                  <a:alpha val="0"/>
                                </a:srgbClr>
                              </a:clrTo>
                            </a:clrChange>
                          </a:blip>
                          <a:srcRect/>
                          <a:stretch>
                            <a:fillRect/>
                          </a:stretch>
                        </pic:blipFill>
                        <pic:spPr bwMode="auto">
                          <a:xfrm>
                            <a:off x="0" y="0"/>
                            <a:ext cx="1714500" cy="814705"/>
                          </a:xfrm>
                          <a:prstGeom prst="rect">
                            <a:avLst/>
                          </a:prstGeom>
                          <a:noFill/>
                          <a:ln w="9525">
                            <a:noFill/>
                            <a:miter lim="800000"/>
                            <a:headEnd/>
                            <a:tailEnd/>
                          </a:ln>
                        </pic:spPr>
                      </pic:pic>
                    </a:graphicData>
                  </a:graphic>
                </wp:anchor>
              </w:drawing>
            </w:r>
          </w:p>
        </w:tc>
        <w:tc>
          <w:tcPr>
            <w:tcW w:w="3354" w:type="dxa"/>
            <w:gridSpan w:val="3"/>
            <w:shd w:val="clear" w:color="auto" w:fill="CDD7FA"/>
          </w:tcPr>
          <w:p w:rsidR="00BE3940" w:rsidRPr="00F57D27" w:rsidRDefault="00BE3940" w:rsidP="00BE3940">
            <w:pPr>
              <w:rPr>
                <w:rFonts w:eastAsia="楷体_GB2312"/>
                <w:b/>
                <w:color w:val="003366"/>
                <w:sz w:val="24"/>
              </w:rPr>
            </w:pPr>
          </w:p>
        </w:tc>
      </w:tr>
      <w:tr w:rsidR="00BE3940" w:rsidRPr="00F57D27">
        <w:trPr>
          <w:gridAfter w:val="1"/>
          <w:wAfter w:w="225" w:type="dxa"/>
          <w:trHeight w:val="940"/>
        </w:trPr>
        <w:tc>
          <w:tcPr>
            <w:tcW w:w="534" w:type="dxa"/>
            <w:shd w:val="clear" w:color="auto" w:fill="CDD7FA"/>
          </w:tcPr>
          <w:p w:rsidR="00BE3940" w:rsidRPr="00F57D27" w:rsidRDefault="00BE3940" w:rsidP="00BE3940">
            <w:pPr>
              <w:rPr>
                <w:rFonts w:eastAsia="楷体_GB2312"/>
                <w:b/>
                <w:color w:val="003366"/>
                <w:sz w:val="24"/>
              </w:rPr>
            </w:pPr>
          </w:p>
        </w:tc>
        <w:tc>
          <w:tcPr>
            <w:tcW w:w="3354" w:type="dxa"/>
            <w:gridSpan w:val="3"/>
            <w:shd w:val="clear" w:color="auto" w:fill="CDD7FA"/>
          </w:tcPr>
          <w:p w:rsidR="00BE3940" w:rsidRPr="00F57D27" w:rsidRDefault="00BE3940" w:rsidP="00BE3940">
            <w:pPr>
              <w:spacing w:line="360" w:lineRule="auto"/>
              <w:rPr>
                <w:rFonts w:eastAsia="楷体_GB2312"/>
                <w:noProof/>
                <w:sz w:val="24"/>
              </w:rPr>
            </w:pPr>
          </w:p>
        </w:tc>
      </w:tr>
      <w:tr w:rsidR="00BE3940" w:rsidRPr="00F57D27">
        <w:trPr>
          <w:gridAfter w:val="1"/>
          <w:wAfter w:w="225" w:type="dxa"/>
          <w:trHeight w:hRule="exact" w:val="284"/>
        </w:trPr>
        <w:tc>
          <w:tcPr>
            <w:tcW w:w="534" w:type="dxa"/>
            <w:shd w:val="clear" w:color="auto" w:fill="CDD7FA"/>
          </w:tcPr>
          <w:p w:rsidR="00BE3940" w:rsidRPr="00F57D27" w:rsidRDefault="00BE3940" w:rsidP="00BE3940">
            <w:pPr>
              <w:rPr>
                <w:rFonts w:eastAsia="楷体_GB2312"/>
                <w:b/>
                <w:color w:val="003366"/>
                <w:sz w:val="24"/>
              </w:rPr>
            </w:pPr>
          </w:p>
          <w:p w:rsidR="00BE3940" w:rsidRPr="00F57D27" w:rsidRDefault="00BE3940" w:rsidP="00BE3940">
            <w:pPr>
              <w:rPr>
                <w:rFonts w:eastAsia="楷体_GB2312"/>
                <w:b/>
                <w:color w:val="003366"/>
                <w:sz w:val="24"/>
              </w:rPr>
            </w:pPr>
          </w:p>
          <w:p w:rsidR="00BE3940" w:rsidRPr="00F57D27" w:rsidRDefault="00BE3940" w:rsidP="00BE3940">
            <w:pPr>
              <w:rPr>
                <w:rFonts w:eastAsia="楷体_GB2312"/>
                <w:b/>
                <w:color w:val="003366"/>
                <w:sz w:val="24"/>
              </w:rPr>
            </w:pPr>
          </w:p>
          <w:p w:rsidR="00BE3940" w:rsidRPr="00F57D27" w:rsidRDefault="00BE3940" w:rsidP="00BE3940">
            <w:pPr>
              <w:rPr>
                <w:rFonts w:eastAsia="楷体_GB2312"/>
                <w:b/>
                <w:color w:val="003366"/>
                <w:sz w:val="24"/>
              </w:rPr>
            </w:pPr>
          </w:p>
        </w:tc>
        <w:tc>
          <w:tcPr>
            <w:tcW w:w="519" w:type="dxa"/>
            <w:shd w:val="clear" w:color="auto" w:fill="CDD7FA"/>
          </w:tcPr>
          <w:p w:rsidR="00BE3940" w:rsidRPr="00F57D27" w:rsidRDefault="00BE3940" w:rsidP="00BE3940">
            <w:pPr>
              <w:jc w:val="left"/>
              <w:rPr>
                <w:rFonts w:eastAsia="楷体_GB2312"/>
                <w:b/>
                <w:color w:val="003366"/>
                <w:sz w:val="24"/>
              </w:rPr>
            </w:pPr>
          </w:p>
        </w:tc>
        <w:tc>
          <w:tcPr>
            <w:tcW w:w="2835" w:type="dxa"/>
            <w:gridSpan w:val="2"/>
            <w:shd w:val="clear" w:color="auto" w:fill="CDD7FA"/>
          </w:tcPr>
          <w:p w:rsidR="00BE3940" w:rsidRPr="00F57D27" w:rsidRDefault="00BE3940" w:rsidP="00BE3940">
            <w:pPr>
              <w:rPr>
                <w:rFonts w:eastAsia="楷体_GB2312"/>
                <w:b/>
                <w:color w:val="003366"/>
                <w:sz w:val="24"/>
              </w:rPr>
            </w:pPr>
          </w:p>
        </w:tc>
      </w:tr>
      <w:tr w:rsidR="00BE3940" w:rsidRPr="00F57D27">
        <w:trPr>
          <w:gridAfter w:val="1"/>
          <w:wAfter w:w="225" w:type="dxa"/>
          <w:trHeight w:hRule="exact" w:val="284"/>
        </w:trPr>
        <w:tc>
          <w:tcPr>
            <w:tcW w:w="534" w:type="dxa"/>
            <w:shd w:val="clear" w:color="auto" w:fill="CDD7FA"/>
          </w:tcPr>
          <w:p w:rsidR="00BE3940" w:rsidRPr="00F57D27" w:rsidRDefault="00BE3940" w:rsidP="00BE3940">
            <w:pPr>
              <w:rPr>
                <w:rFonts w:eastAsia="楷体_GB2312"/>
                <w:b/>
                <w:color w:val="003366"/>
                <w:sz w:val="24"/>
              </w:rPr>
            </w:pPr>
          </w:p>
        </w:tc>
        <w:tc>
          <w:tcPr>
            <w:tcW w:w="519" w:type="dxa"/>
            <w:shd w:val="clear" w:color="auto" w:fill="CDD7FA"/>
          </w:tcPr>
          <w:p w:rsidR="00BE3940" w:rsidRPr="00F57D27" w:rsidRDefault="00BE3940" w:rsidP="00BE3940">
            <w:pPr>
              <w:jc w:val="left"/>
              <w:rPr>
                <w:rFonts w:eastAsia="楷体_GB2312"/>
                <w:b/>
                <w:color w:val="003366"/>
                <w:sz w:val="24"/>
              </w:rPr>
            </w:pPr>
          </w:p>
        </w:tc>
        <w:tc>
          <w:tcPr>
            <w:tcW w:w="2835" w:type="dxa"/>
            <w:gridSpan w:val="2"/>
            <w:shd w:val="clear" w:color="auto" w:fill="CDD7FA"/>
          </w:tcPr>
          <w:p w:rsidR="00BE3940" w:rsidRPr="00F57D27" w:rsidRDefault="00BE3940" w:rsidP="00BE3940">
            <w:pPr>
              <w:rPr>
                <w:rFonts w:eastAsia="楷体_GB2312"/>
                <w:b/>
                <w:color w:val="003366"/>
                <w:sz w:val="24"/>
              </w:rPr>
            </w:pPr>
          </w:p>
        </w:tc>
      </w:tr>
      <w:tr w:rsidR="00BE3940" w:rsidRPr="00F57D27">
        <w:trPr>
          <w:gridAfter w:val="1"/>
          <w:wAfter w:w="225" w:type="dxa"/>
          <w:trHeight w:hRule="exact" w:val="284"/>
        </w:trPr>
        <w:tc>
          <w:tcPr>
            <w:tcW w:w="534" w:type="dxa"/>
            <w:shd w:val="clear" w:color="auto" w:fill="CDD7FA"/>
          </w:tcPr>
          <w:p w:rsidR="00BE3940" w:rsidRPr="00F57D27" w:rsidRDefault="00BE3940" w:rsidP="00BE3940">
            <w:pPr>
              <w:rPr>
                <w:rFonts w:eastAsia="楷体_GB2312"/>
                <w:b/>
                <w:color w:val="003366"/>
                <w:sz w:val="24"/>
              </w:rPr>
            </w:pPr>
          </w:p>
        </w:tc>
        <w:tc>
          <w:tcPr>
            <w:tcW w:w="519" w:type="dxa"/>
            <w:shd w:val="clear" w:color="auto" w:fill="CDD7FA"/>
          </w:tcPr>
          <w:p w:rsidR="00BE3940" w:rsidRPr="00F57D27" w:rsidRDefault="00BE3940" w:rsidP="00BE3940">
            <w:pPr>
              <w:jc w:val="left"/>
              <w:rPr>
                <w:rFonts w:eastAsia="楷体_GB2312"/>
                <w:b/>
                <w:color w:val="003366"/>
                <w:sz w:val="24"/>
              </w:rPr>
            </w:pPr>
          </w:p>
        </w:tc>
        <w:tc>
          <w:tcPr>
            <w:tcW w:w="2835" w:type="dxa"/>
            <w:gridSpan w:val="2"/>
            <w:shd w:val="clear" w:color="auto" w:fill="CDD7FA"/>
          </w:tcPr>
          <w:p w:rsidR="00BE3940" w:rsidRPr="00F57D27" w:rsidRDefault="00BE3940" w:rsidP="00BE3940">
            <w:pPr>
              <w:rPr>
                <w:rFonts w:eastAsia="楷体_GB2312"/>
                <w:b/>
                <w:color w:val="003366"/>
                <w:sz w:val="24"/>
              </w:rPr>
            </w:pPr>
          </w:p>
        </w:tc>
      </w:tr>
      <w:tr w:rsidR="00BE3940" w:rsidRPr="00F57D27">
        <w:trPr>
          <w:gridAfter w:val="1"/>
          <w:wAfter w:w="225" w:type="dxa"/>
          <w:trHeight w:hRule="exact" w:val="80"/>
        </w:trPr>
        <w:tc>
          <w:tcPr>
            <w:tcW w:w="534" w:type="dxa"/>
            <w:shd w:val="clear" w:color="auto" w:fill="CDD7FA"/>
          </w:tcPr>
          <w:p w:rsidR="00BE3940" w:rsidRPr="00F57D27" w:rsidRDefault="00BE3940" w:rsidP="00BE3940">
            <w:pPr>
              <w:rPr>
                <w:rFonts w:eastAsia="楷体_GB2312"/>
                <w:b/>
                <w:color w:val="003366"/>
                <w:sz w:val="24"/>
              </w:rPr>
            </w:pPr>
          </w:p>
        </w:tc>
        <w:tc>
          <w:tcPr>
            <w:tcW w:w="3354" w:type="dxa"/>
            <w:gridSpan w:val="3"/>
            <w:shd w:val="clear" w:color="auto" w:fill="CDD7FA"/>
          </w:tcPr>
          <w:p w:rsidR="00BE3940" w:rsidRPr="00F57D27" w:rsidRDefault="00BE3940" w:rsidP="00BE3940">
            <w:pPr>
              <w:jc w:val="left"/>
              <w:rPr>
                <w:rFonts w:eastAsia="楷体_GB2312"/>
                <w:b/>
                <w:color w:val="003366"/>
                <w:sz w:val="24"/>
              </w:rPr>
            </w:pPr>
          </w:p>
        </w:tc>
      </w:tr>
      <w:tr w:rsidR="00BE3940" w:rsidRPr="00F57D27">
        <w:trPr>
          <w:trHeight w:hRule="exact" w:val="284"/>
        </w:trPr>
        <w:tc>
          <w:tcPr>
            <w:tcW w:w="534" w:type="dxa"/>
          </w:tcPr>
          <w:p w:rsidR="00BE3940" w:rsidRPr="00F57D27" w:rsidRDefault="00BE3940" w:rsidP="00BE3940">
            <w:pPr>
              <w:rPr>
                <w:rFonts w:eastAsia="楷体_GB2312"/>
                <w:b/>
                <w:color w:val="003366"/>
                <w:sz w:val="24"/>
              </w:rPr>
            </w:pPr>
          </w:p>
        </w:tc>
        <w:tc>
          <w:tcPr>
            <w:tcW w:w="519" w:type="dxa"/>
          </w:tcPr>
          <w:p w:rsidR="00BE3940" w:rsidRPr="00F57D27" w:rsidRDefault="00BE3940" w:rsidP="00BE3940">
            <w:pPr>
              <w:jc w:val="left"/>
              <w:rPr>
                <w:rFonts w:eastAsia="楷体_GB2312"/>
                <w:b/>
                <w:color w:val="003366"/>
                <w:sz w:val="24"/>
              </w:rPr>
            </w:pPr>
          </w:p>
        </w:tc>
        <w:tc>
          <w:tcPr>
            <w:tcW w:w="3060" w:type="dxa"/>
            <w:gridSpan w:val="3"/>
          </w:tcPr>
          <w:p w:rsidR="00BE3940" w:rsidRPr="00F57D27" w:rsidRDefault="00BE3940" w:rsidP="00BE3940">
            <w:pPr>
              <w:rPr>
                <w:rFonts w:eastAsia="楷体_GB2312"/>
                <w:b/>
                <w:color w:val="003366"/>
                <w:sz w:val="24"/>
              </w:rPr>
            </w:pPr>
          </w:p>
        </w:tc>
      </w:tr>
      <w:tr w:rsidR="00BE3940" w:rsidRPr="00F57D27">
        <w:trPr>
          <w:gridAfter w:val="1"/>
          <w:wAfter w:w="225" w:type="dxa"/>
          <w:trHeight w:hRule="exact" w:val="284"/>
        </w:trPr>
        <w:tc>
          <w:tcPr>
            <w:tcW w:w="534" w:type="dxa"/>
          </w:tcPr>
          <w:p w:rsidR="00BE3940" w:rsidRPr="00F57D27" w:rsidRDefault="00BE3940" w:rsidP="00BE3940">
            <w:pPr>
              <w:rPr>
                <w:rFonts w:eastAsia="楷体_GB2312"/>
                <w:b/>
                <w:color w:val="003366"/>
                <w:sz w:val="24"/>
              </w:rPr>
            </w:pPr>
          </w:p>
        </w:tc>
        <w:tc>
          <w:tcPr>
            <w:tcW w:w="3354" w:type="dxa"/>
            <w:gridSpan w:val="3"/>
          </w:tcPr>
          <w:p w:rsidR="00BE3940" w:rsidRPr="00F57D27" w:rsidRDefault="00BE3940" w:rsidP="00BE3940">
            <w:pPr>
              <w:jc w:val="center"/>
              <w:rPr>
                <w:rFonts w:eastAsia="黑体"/>
                <w:color w:val="003366"/>
                <w:sz w:val="24"/>
              </w:rPr>
            </w:pPr>
          </w:p>
        </w:tc>
      </w:tr>
      <w:tr w:rsidR="00BE3940" w:rsidRPr="00F57D27">
        <w:trPr>
          <w:gridAfter w:val="1"/>
          <w:wAfter w:w="225" w:type="dxa"/>
          <w:trHeight w:val="457"/>
        </w:trPr>
        <w:tc>
          <w:tcPr>
            <w:tcW w:w="534" w:type="dxa"/>
          </w:tcPr>
          <w:p w:rsidR="00BE3940" w:rsidRPr="00D82E82" w:rsidRDefault="00BE3940" w:rsidP="00BE3940">
            <w:pPr>
              <w:rPr>
                <w:rFonts w:eastAsia="楷体_GB2312"/>
                <w:b/>
                <w:color w:val="003366"/>
              </w:rPr>
            </w:pPr>
          </w:p>
        </w:tc>
        <w:tc>
          <w:tcPr>
            <w:tcW w:w="3354" w:type="dxa"/>
            <w:gridSpan w:val="3"/>
          </w:tcPr>
          <w:p w:rsidR="00BE3940" w:rsidRPr="00CD7632" w:rsidRDefault="006D7EFB" w:rsidP="00061549">
            <w:pPr>
              <w:spacing w:line="360" w:lineRule="auto"/>
              <w:ind w:left="-288" w:firstLineChars="150" w:firstLine="315"/>
              <w:jc w:val="left"/>
              <w:rPr>
                <w:rFonts w:eastAsia="楷体_GB2312"/>
                <w:color w:val="003366"/>
                <w:szCs w:val="21"/>
              </w:rPr>
            </w:pPr>
            <w:r w:rsidRPr="00CD7632">
              <w:rPr>
                <w:rFonts w:eastAsia="楷体_GB2312" w:hint="eastAsia"/>
                <w:color w:val="003366"/>
                <w:szCs w:val="21"/>
              </w:rPr>
              <w:t>2</w:t>
            </w:r>
            <w:r w:rsidRPr="00CD7632">
              <w:rPr>
                <w:rFonts w:eastAsia="黑体" w:hint="eastAsia"/>
                <w:b/>
                <w:color w:val="003366"/>
                <w:szCs w:val="21"/>
              </w:rPr>
              <w:t>01</w:t>
            </w:r>
            <w:r w:rsidR="007F5689">
              <w:rPr>
                <w:rFonts w:eastAsia="黑体" w:hint="eastAsia"/>
                <w:b/>
                <w:color w:val="003366"/>
                <w:szCs w:val="21"/>
              </w:rPr>
              <w:t>4</w:t>
            </w:r>
            <w:r w:rsidRPr="00CD7632">
              <w:rPr>
                <w:rFonts w:eastAsia="黑体" w:hint="eastAsia"/>
                <w:b/>
                <w:color w:val="003366"/>
                <w:szCs w:val="21"/>
              </w:rPr>
              <w:t>年</w:t>
            </w:r>
            <w:r w:rsidR="00061549">
              <w:rPr>
                <w:rFonts w:eastAsia="黑体" w:hint="eastAsia"/>
                <w:b/>
                <w:color w:val="003366"/>
                <w:szCs w:val="21"/>
              </w:rPr>
              <w:t>2</w:t>
            </w:r>
            <w:r w:rsidR="009B7304" w:rsidRPr="00CD7632">
              <w:rPr>
                <w:rFonts w:eastAsia="黑体" w:hint="eastAsia"/>
                <w:b/>
                <w:color w:val="003366"/>
                <w:szCs w:val="21"/>
              </w:rPr>
              <w:t>月基金业绩</w:t>
            </w:r>
            <w:r w:rsidR="00BE2BA3" w:rsidRPr="00CD7632">
              <w:rPr>
                <w:rFonts w:eastAsia="黑体" w:hint="eastAsia"/>
                <w:b/>
                <w:color w:val="003366"/>
                <w:szCs w:val="21"/>
              </w:rPr>
              <w:t>统计</w:t>
            </w:r>
            <w:r w:rsidR="009B7304" w:rsidRPr="00CD7632">
              <w:rPr>
                <w:rFonts w:eastAsia="黑体" w:hint="eastAsia"/>
                <w:b/>
                <w:color w:val="003366"/>
                <w:szCs w:val="21"/>
              </w:rPr>
              <w:t>分布</w:t>
            </w:r>
          </w:p>
        </w:tc>
      </w:tr>
      <w:tr w:rsidR="00BE3940" w:rsidRPr="00F57D27" w:rsidTr="00061549">
        <w:trPr>
          <w:gridAfter w:val="1"/>
          <w:wAfter w:w="225" w:type="dxa"/>
          <w:trHeight w:val="284"/>
        </w:trPr>
        <w:tc>
          <w:tcPr>
            <w:tcW w:w="534" w:type="dxa"/>
          </w:tcPr>
          <w:p w:rsidR="00BE3940" w:rsidRPr="00F57D27" w:rsidRDefault="00BE3940" w:rsidP="00BE3940">
            <w:pPr>
              <w:rPr>
                <w:rFonts w:eastAsia="楷体_GB2312"/>
                <w:b/>
                <w:color w:val="003366"/>
                <w:sz w:val="24"/>
              </w:rPr>
            </w:pPr>
          </w:p>
          <w:p w:rsidR="00BE3940" w:rsidRPr="00F57D27" w:rsidRDefault="00BE3940" w:rsidP="00BE3940">
            <w:pPr>
              <w:rPr>
                <w:rFonts w:eastAsia="楷体_GB2312"/>
                <w:b/>
                <w:color w:val="003366"/>
                <w:sz w:val="24"/>
              </w:rPr>
            </w:pPr>
          </w:p>
          <w:p w:rsidR="00BE3940" w:rsidRPr="00F57D27" w:rsidRDefault="00BE3940" w:rsidP="00BE3940">
            <w:pPr>
              <w:rPr>
                <w:rFonts w:eastAsia="楷体_GB2312"/>
                <w:b/>
                <w:color w:val="003366"/>
                <w:sz w:val="24"/>
              </w:rPr>
            </w:pPr>
          </w:p>
        </w:tc>
        <w:tc>
          <w:tcPr>
            <w:tcW w:w="3354" w:type="dxa"/>
            <w:gridSpan w:val="3"/>
            <w:vAlign w:val="center"/>
          </w:tcPr>
          <w:p w:rsidR="00BE3940" w:rsidRPr="00CD7632" w:rsidRDefault="00061549" w:rsidP="009F1D47">
            <w:pPr>
              <w:ind w:leftChars="-51" w:rightChars="34" w:right="71" w:hangingChars="51" w:hanging="107"/>
              <w:rPr>
                <w:noProof/>
              </w:rPr>
            </w:pPr>
            <w:r>
              <w:rPr>
                <w:noProof/>
              </w:rPr>
              <w:drawing>
                <wp:inline distT="0" distB="0" distL="0" distR="0">
                  <wp:extent cx="1992630" cy="1552575"/>
                  <wp:effectExtent l="19050" t="0" r="762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92630" cy="1552575"/>
                          </a:xfrm>
                          <a:prstGeom prst="rect">
                            <a:avLst/>
                          </a:prstGeom>
                          <a:noFill/>
                          <a:ln w="9525">
                            <a:noFill/>
                            <a:miter lim="800000"/>
                            <a:headEnd/>
                            <a:tailEnd/>
                          </a:ln>
                        </pic:spPr>
                      </pic:pic>
                    </a:graphicData>
                  </a:graphic>
                </wp:inline>
              </w:drawing>
            </w:r>
          </w:p>
        </w:tc>
      </w:tr>
      <w:tr w:rsidR="001A459A" w:rsidRPr="00F57D27">
        <w:trPr>
          <w:gridAfter w:val="1"/>
          <w:wAfter w:w="225" w:type="dxa"/>
          <w:trHeight w:val="284"/>
        </w:trPr>
        <w:tc>
          <w:tcPr>
            <w:tcW w:w="534" w:type="dxa"/>
          </w:tcPr>
          <w:p w:rsidR="001A459A" w:rsidRPr="00F57D27" w:rsidRDefault="001A459A" w:rsidP="001A459A">
            <w:pPr>
              <w:rPr>
                <w:rFonts w:eastAsia="楷体_GB2312"/>
                <w:b/>
                <w:color w:val="003366"/>
                <w:sz w:val="24"/>
              </w:rPr>
            </w:pPr>
          </w:p>
        </w:tc>
        <w:tc>
          <w:tcPr>
            <w:tcW w:w="3354" w:type="dxa"/>
            <w:gridSpan w:val="3"/>
          </w:tcPr>
          <w:p w:rsidR="00D82E82" w:rsidRPr="00CD7632" w:rsidRDefault="00CE1D49" w:rsidP="001A459A">
            <w:pPr>
              <w:rPr>
                <w:rFonts w:eastAsia="楷体_GB2312"/>
                <w:color w:val="003366"/>
                <w:sz w:val="18"/>
                <w:szCs w:val="18"/>
              </w:rPr>
            </w:pPr>
            <w:r w:rsidRPr="00CD7632">
              <w:rPr>
                <w:rFonts w:eastAsia="楷体_GB2312" w:hint="eastAsia"/>
                <w:color w:val="003366"/>
                <w:sz w:val="18"/>
                <w:szCs w:val="18"/>
              </w:rPr>
              <w:t>注：不包括结构化份额</w:t>
            </w:r>
          </w:p>
          <w:p w:rsidR="00CE1D49" w:rsidRPr="00CD7632" w:rsidRDefault="00CE1D49" w:rsidP="001A459A">
            <w:pPr>
              <w:rPr>
                <w:rFonts w:eastAsia="楷体_GB2312"/>
                <w:b/>
                <w:color w:val="003366"/>
              </w:rPr>
            </w:pPr>
          </w:p>
          <w:p w:rsidR="00D6400F" w:rsidRPr="00CD7632" w:rsidRDefault="00D6400F" w:rsidP="001A459A">
            <w:pPr>
              <w:rPr>
                <w:rFonts w:eastAsia="楷体_GB2312"/>
                <w:b/>
                <w:color w:val="003366"/>
              </w:rPr>
            </w:pPr>
            <w:r w:rsidRPr="00CD7632">
              <w:rPr>
                <w:rFonts w:eastAsia="楷体_GB2312" w:hint="eastAsia"/>
                <w:b/>
                <w:color w:val="003366"/>
              </w:rPr>
              <w:t>上海证券基金评价研究中心</w:t>
            </w:r>
          </w:p>
          <w:p w:rsidR="001A459A" w:rsidRPr="00CD7632" w:rsidRDefault="00B70D0C" w:rsidP="001A459A">
            <w:pPr>
              <w:rPr>
                <w:rFonts w:eastAsia="楷体_GB2312"/>
                <w:b/>
                <w:color w:val="003366"/>
              </w:rPr>
            </w:pPr>
            <w:r w:rsidRPr="00CD7632">
              <w:rPr>
                <w:rFonts w:eastAsia="楷体_GB2312" w:hint="eastAsia"/>
                <w:b/>
                <w:color w:val="003366"/>
              </w:rPr>
              <w:t>刘亦千</w:t>
            </w:r>
          </w:p>
          <w:p w:rsidR="00661078" w:rsidRPr="00CD7632" w:rsidRDefault="00693B26" w:rsidP="001A459A">
            <w:pPr>
              <w:rPr>
                <w:rFonts w:eastAsia="楷体_GB2312"/>
                <w:color w:val="003366"/>
              </w:rPr>
            </w:pPr>
            <w:r w:rsidRPr="00CD7632">
              <w:rPr>
                <w:rFonts w:eastAsia="楷体_GB2312" w:hint="eastAsia"/>
                <w:color w:val="003366"/>
              </w:rPr>
              <w:t>执业</w:t>
            </w:r>
            <w:r w:rsidR="00661078" w:rsidRPr="00CD7632">
              <w:rPr>
                <w:rFonts w:eastAsia="楷体_GB2312" w:hint="eastAsia"/>
                <w:color w:val="003366"/>
              </w:rPr>
              <w:t>证书编号：</w:t>
            </w:r>
            <w:r w:rsidR="004548AB" w:rsidRPr="00CD7632">
              <w:rPr>
                <w:rFonts w:eastAsia="楷体_GB2312"/>
                <w:b/>
                <w:color w:val="003366"/>
                <w:sz w:val="24"/>
              </w:rPr>
              <w:t>S0870511040001</w:t>
            </w:r>
          </w:p>
        </w:tc>
      </w:tr>
      <w:tr w:rsidR="001A459A" w:rsidRPr="00F57D27">
        <w:trPr>
          <w:gridAfter w:val="1"/>
          <w:wAfter w:w="225" w:type="dxa"/>
          <w:trHeight w:val="284"/>
        </w:trPr>
        <w:tc>
          <w:tcPr>
            <w:tcW w:w="534" w:type="dxa"/>
          </w:tcPr>
          <w:p w:rsidR="001A459A" w:rsidRPr="00F57D27" w:rsidRDefault="001A459A" w:rsidP="001A459A">
            <w:pPr>
              <w:rPr>
                <w:rFonts w:eastAsia="楷体_GB2312"/>
                <w:b/>
                <w:color w:val="003366"/>
                <w:sz w:val="24"/>
              </w:rPr>
            </w:pPr>
          </w:p>
        </w:tc>
        <w:tc>
          <w:tcPr>
            <w:tcW w:w="3354" w:type="dxa"/>
            <w:gridSpan w:val="3"/>
          </w:tcPr>
          <w:p w:rsidR="001A459A" w:rsidRPr="00D82E82" w:rsidRDefault="001A459A" w:rsidP="00F95DC4">
            <w:pPr>
              <w:rPr>
                <w:rFonts w:eastAsia="楷体_GB2312"/>
                <w:b/>
                <w:color w:val="003366"/>
              </w:rPr>
            </w:pPr>
            <w:r w:rsidRPr="00F95DC4">
              <w:rPr>
                <w:rFonts w:eastAsia="楷体_GB2312"/>
                <w:b/>
                <w:color w:val="003366"/>
                <w:sz w:val="24"/>
              </w:rPr>
              <w:t>021-</w:t>
            </w:r>
            <w:r w:rsidRPr="00F95DC4">
              <w:rPr>
                <w:rFonts w:eastAsia="楷体_GB2312" w:hint="eastAsia"/>
                <w:b/>
                <w:color w:val="003366"/>
                <w:sz w:val="24"/>
              </w:rPr>
              <w:t>53519888</w:t>
            </w:r>
            <w:r w:rsidRPr="00F95DC4">
              <w:rPr>
                <w:rFonts w:hint="eastAsia"/>
              </w:rPr>
              <w:t>-</w:t>
            </w:r>
            <w:r w:rsidRPr="00F95DC4">
              <w:rPr>
                <w:rFonts w:eastAsia="楷体_GB2312" w:hint="eastAsia"/>
                <w:b/>
                <w:color w:val="003366"/>
                <w:sz w:val="24"/>
              </w:rPr>
              <w:t>19</w:t>
            </w:r>
            <w:r w:rsidR="00096A58" w:rsidRPr="00F95DC4">
              <w:rPr>
                <w:rFonts w:eastAsia="楷体_GB2312" w:hint="eastAsia"/>
                <w:b/>
                <w:color w:val="003366"/>
                <w:sz w:val="24"/>
              </w:rPr>
              <w:t>88</w:t>
            </w:r>
          </w:p>
        </w:tc>
      </w:tr>
      <w:tr w:rsidR="001A459A" w:rsidRPr="00F57D27">
        <w:trPr>
          <w:gridAfter w:val="1"/>
          <w:wAfter w:w="225" w:type="dxa"/>
          <w:trHeight w:val="284"/>
        </w:trPr>
        <w:tc>
          <w:tcPr>
            <w:tcW w:w="534" w:type="dxa"/>
          </w:tcPr>
          <w:p w:rsidR="001A459A" w:rsidRPr="00F57D27" w:rsidRDefault="001A459A" w:rsidP="001A459A">
            <w:pPr>
              <w:rPr>
                <w:rFonts w:eastAsia="楷体_GB2312"/>
                <w:b/>
                <w:color w:val="003366"/>
                <w:sz w:val="24"/>
              </w:rPr>
            </w:pPr>
          </w:p>
        </w:tc>
        <w:tc>
          <w:tcPr>
            <w:tcW w:w="3354" w:type="dxa"/>
            <w:gridSpan w:val="3"/>
          </w:tcPr>
          <w:p w:rsidR="00693B26" w:rsidRDefault="00EF283B" w:rsidP="00693B26">
            <w:r w:rsidRPr="00FC770C">
              <w:rPr>
                <w:rFonts w:eastAsia="楷体_GB2312" w:hint="eastAsia"/>
                <w:b/>
                <w:bCs/>
                <w:color w:val="003365"/>
                <w:kern w:val="0"/>
                <w:sz w:val="24"/>
              </w:rPr>
              <w:t>Liuyiqian</w:t>
            </w:r>
            <w:r w:rsidRPr="00FC770C">
              <w:rPr>
                <w:rFonts w:eastAsia="楷体_GB2312"/>
                <w:b/>
                <w:bCs/>
                <w:color w:val="003365"/>
                <w:kern w:val="0"/>
                <w:sz w:val="24"/>
              </w:rPr>
              <w:t>@</w:t>
            </w:r>
            <w:r w:rsidR="00455952">
              <w:rPr>
                <w:rFonts w:eastAsia="楷体_GB2312" w:hint="eastAsia"/>
                <w:b/>
                <w:bCs/>
                <w:color w:val="003365"/>
                <w:kern w:val="0"/>
                <w:sz w:val="24"/>
              </w:rPr>
              <w:t>shzq</w:t>
            </w:r>
            <w:r w:rsidRPr="00FC770C">
              <w:rPr>
                <w:rFonts w:eastAsia="楷体_GB2312"/>
                <w:b/>
                <w:bCs/>
                <w:color w:val="003365"/>
                <w:kern w:val="0"/>
                <w:sz w:val="24"/>
              </w:rPr>
              <w:t>.com</w:t>
            </w:r>
          </w:p>
          <w:p w:rsidR="001A459A" w:rsidRPr="00F57D27" w:rsidRDefault="001A459A" w:rsidP="001A459A">
            <w:pPr>
              <w:rPr>
                <w:rFonts w:eastAsia="楷体_GB2312"/>
                <w:b/>
                <w:color w:val="003366"/>
                <w:sz w:val="24"/>
              </w:rPr>
            </w:pPr>
          </w:p>
        </w:tc>
      </w:tr>
      <w:tr w:rsidR="001A459A" w:rsidRPr="00F57D27">
        <w:trPr>
          <w:gridAfter w:val="1"/>
          <w:wAfter w:w="225" w:type="dxa"/>
          <w:trHeight w:val="284"/>
        </w:trPr>
        <w:tc>
          <w:tcPr>
            <w:tcW w:w="534" w:type="dxa"/>
          </w:tcPr>
          <w:p w:rsidR="001A459A" w:rsidRPr="00F57D27" w:rsidRDefault="001A459A" w:rsidP="001A459A">
            <w:pPr>
              <w:rPr>
                <w:rFonts w:eastAsia="楷体_GB2312"/>
                <w:b/>
                <w:color w:val="003366"/>
                <w:sz w:val="24"/>
              </w:rPr>
            </w:pPr>
          </w:p>
          <w:p w:rsidR="001A459A" w:rsidRPr="00F57D27" w:rsidRDefault="001A459A" w:rsidP="001A459A">
            <w:pPr>
              <w:rPr>
                <w:rFonts w:eastAsia="楷体_GB2312"/>
                <w:b/>
                <w:color w:val="003366"/>
                <w:sz w:val="24"/>
              </w:rPr>
            </w:pPr>
          </w:p>
          <w:p w:rsidR="001A459A" w:rsidRPr="00F57D27" w:rsidRDefault="001A459A" w:rsidP="001A459A">
            <w:pPr>
              <w:rPr>
                <w:rFonts w:eastAsia="楷体_GB2312"/>
                <w:b/>
                <w:color w:val="003366"/>
                <w:sz w:val="24"/>
              </w:rPr>
            </w:pPr>
          </w:p>
        </w:tc>
        <w:tc>
          <w:tcPr>
            <w:tcW w:w="3354" w:type="dxa"/>
            <w:gridSpan w:val="3"/>
          </w:tcPr>
          <w:p w:rsidR="001A459A" w:rsidRPr="0077785C" w:rsidRDefault="001A459A" w:rsidP="001A459A">
            <w:pPr>
              <w:rPr>
                <w:rFonts w:eastAsia="楷体_GB2312"/>
                <w:color w:val="003366"/>
                <w:sz w:val="24"/>
              </w:rPr>
            </w:pPr>
          </w:p>
        </w:tc>
      </w:tr>
      <w:tr w:rsidR="001A459A" w:rsidRPr="00F57D27">
        <w:trPr>
          <w:gridAfter w:val="1"/>
          <w:wAfter w:w="225" w:type="dxa"/>
          <w:trHeight w:val="284"/>
        </w:trPr>
        <w:tc>
          <w:tcPr>
            <w:tcW w:w="534" w:type="dxa"/>
          </w:tcPr>
          <w:p w:rsidR="001A459A" w:rsidRPr="00F57D27" w:rsidRDefault="001A459A" w:rsidP="001A459A">
            <w:pPr>
              <w:rPr>
                <w:rFonts w:eastAsia="楷体_GB2312"/>
                <w:b/>
                <w:color w:val="003366"/>
                <w:sz w:val="24"/>
              </w:rPr>
            </w:pPr>
          </w:p>
        </w:tc>
        <w:tc>
          <w:tcPr>
            <w:tcW w:w="3354" w:type="dxa"/>
            <w:gridSpan w:val="3"/>
          </w:tcPr>
          <w:tbl>
            <w:tblPr>
              <w:tblpPr w:leftFromText="180" w:rightFromText="180" w:vertAnchor="text" w:horzAnchor="page" w:tblpX="37" w:tblpY="-2806"/>
              <w:tblW w:w="3888" w:type="dxa"/>
              <w:shd w:val="clear" w:color="auto" w:fill="E0E0E0"/>
              <w:tblLayout w:type="fixed"/>
              <w:tblLook w:val="01E0"/>
            </w:tblPr>
            <w:tblGrid>
              <w:gridCol w:w="3420"/>
              <w:gridCol w:w="468"/>
            </w:tblGrid>
            <w:tr w:rsidR="001A459A" w:rsidRPr="00F57D27">
              <w:trPr>
                <w:trHeight w:hRule="exact" w:val="284"/>
              </w:trPr>
              <w:tc>
                <w:tcPr>
                  <w:tcW w:w="3888" w:type="dxa"/>
                  <w:gridSpan w:val="2"/>
                </w:tcPr>
                <w:p w:rsidR="001A459A" w:rsidRPr="00B21A03" w:rsidRDefault="001A459A" w:rsidP="001A459A">
                  <w:pPr>
                    <w:pStyle w:val="a8"/>
                    <w:rPr>
                      <w:rFonts w:hAnsi="宋体" w:cs="宋体"/>
                    </w:rPr>
                  </w:pPr>
                  <w:r w:rsidRPr="00F57D27">
                    <w:rPr>
                      <w:rFonts w:eastAsia="黑体"/>
                      <w:b/>
                      <w:color w:val="003366"/>
                      <w:sz w:val="24"/>
                    </w:rPr>
                    <w:t>日期</w:t>
                  </w:r>
                  <w:r w:rsidRPr="00F57D27">
                    <w:rPr>
                      <w:rFonts w:eastAsia="黑体" w:hint="eastAsia"/>
                      <w:b/>
                      <w:color w:val="003366"/>
                      <w:sz w:val="24"/>
                    </w:rPr>
                    <w:t>：</w:t>
                  </w:r>
                  <w:r w:rsidRPr="00B21A03">
                    <w:rPr>
                      <w:rFonts w:hAnsi="宋体" w:cs="宋体"/>
                    </w:rPr>
                    <w:t>201</w:t>
                  </w:r>
                  <w:r w:rsidR="007C7F38">
                    <w:rPr>
                      <w:rFonts w:hAnsi="宋体" w:cs="宋体" w:hint="eastAsia"/>
                    </w:rPr>
                    <w:t>4</w:t>
                  </w:r>
                  <w:r w:rsidRPr="00B21A03">
                    <w:rPr>
                      <w:rFonts w:hAnsi="宋体" w:cs="宋体"/>
                    </w:rPr>
                    <w:t>年</w:t>
                  </w:r>
                  <w:r w:rsidR="00653334">
                    <w:rPr>
                      <w:rFonts w:hAnsi="宋体" w:cs="宋体" w:hint="eastAsia"/>
                    </w:rPr>
                    <w:t>3</w:t>
                  </w:r>
                  <w:r w:rsidRPr="00B21A03">
                    <w:rPr>
                      <w:rFonts w:hAnsi="宋体" w:cs="宋体"/>
                    </w:rPr>
                    <w:t>月</w:t>
                  </w:r>
                  <w:r w:rsidR="00653334">
                    <w:rPr>
                      <w:rFonts w:hAnsi="宋体" w:cs="宋体" w:hint="eastAsia"/>
                    </w:rPr>
                    <w:t>4</w:t>
                  </w:r>
                  <w:r w:rsidRPr="00B21A03">
                    <w:rPr>
                      <w:rFonts w:hAnsi="宋体" w:cs="宋体"/>
                    </w:rPr>
                    <w:t>日</w:t>
                  </w:r>
                </w:p>
                <w:p w:rsidR="001A459A" w:rsidRPr="00F57D27" w:rsidRDefault="001A459A" w:rsidP="001A459A">
                  <w:pPr>
                    <w:jc w:val="left"/>
                    <w:rPr>
                      <w:rFonts w:eastAsia="楷体_GB2312"/>
                      <w:color w:val="003366"/>
                      <w:sz w:val="24"/>
                    </w:rPr>
                  </w:pPr>
                </w:p>
              </w:tc>
            </w:tr>
            <w:tr w:rsidR="001A459A" w:rsidRPr="00F57D27">
              <w:trPr>
                <w:trHeight w:hRule="exact" w:val="284"/>
              </w:trPr>
              <w:tc>
                <w:tcPr>
                  <w:tcW w:w="3888" w:type="dxa"/>
                  <w:gridSpan w:val="2"/>
                </w:tcPr>
                <w:p w:rsidR="001A459A" w:rsidRPr="00F57D27" w:rsidRDefault="001A459A" w:rsidP="001A459A">
                  <w:pPr>
                    <w:rPr>
                      <w:rFonts w:eastAsia="黑体"/>
                      <w:b/>
                      <w:color w:val="003366"/>
                      <w:sz w:val="24"/>
                    </w:rPr>
                  </w:pPr>
                </w:p>
              </w:tc>
            </w:tr>
            <w:tr w:rsidR="001A459A" w:rsidRPr="00F57D27">
              <w:trPr>
                <w:gridAfter w:val="1"/>
                <w:wAfter w:w="468" w:type="dxa"/>
                <w:trHeight w:hRule="exact" w:val="284"/>
              </w:trPr>
              <w:tc>
                <w:tcPr>
                  <w:tcW w:w="3420" w:type="dxa"/>
                </w:tcPr>
                <w:p w:rsidR="001A459A" w:rsidRPr="00F57D27" w:rsidRDefault="001A459A" w:rsidP="001A459A">
                  <w:pPr>
                    <w:rPr>
                      <w:rFonts w:eastAsia="楷体_GB2312"/>
                      <w:sz w:val="24"/>
                    </w:rPr>
                  </w:pPr>
                </w:p>
              </w:tc>
            </w:tr>
            <w:tr w:rsidR="001A459A" w:rsidRPr="00F57D27">
              <w:trPr>
                <w:gridAfter w:val="1"/>
                <w:wAfter w:w="468" w:type="dxa"/>
                <w:trHeight w:hRule="exact" w:val="284"/>
              </w:trPr>
              <w:tc>
                <w:tcPr>
                  <w:tcW w:w="3420" w:type="dxa"/>
                </w:tcPr>
                <w:p w:rsidR="001A459A" w:rsidRPr="00F57D27" w:rsidRDefault="001A459A" w:rsidP="001A459A">
                  <w:pPr>
                    <w:rPr>
                      <w:rFonts w:ascii="黑体" w:eastAsia="黑体"/>
                      <w:b/>
                      <w:color w:val="003366"/>
                      <w:sz w:val="24"/>
                    </w:rPr>
                  </w:pPr>
                  <w:r w:rsidRPr="00F57D27">
                    <w:rPr>
                      <w:rFonts w:eastAsia="黑体" w:hint="eastAsia"/>
                      <w:b/>
                      <w:color w:val="003366"/>
                      <w:sz w:val="24"/>
                    </w:rPr>
                    <w:t>报告编号：</w:t>
                  </w:r>
                </w:p>
              </w:tc>
            </w:tr>
            <w:tr w:rsidR="001A459A" w:rsidRPr="00F57D27">
              <w:trPr>
                <w:gridAfter w:val="1"/>
                <w:wAfter w:w="468" w:type="dxa"/>
                <w:trHeight w:hRule="exact" w:val="284"/>
              </w:trPr>
              <w:tc>
                <w:tcPr>
                  <w:tcW w:w="3420" w:type="dxa"/>
                </w:tcPr>
                <w:p w:rsidR="001A459A" w:rsidRPr="00F57D27" w:rsidRDefault="001A459A" w:rsidP="001A459A">
                  <w:pPr>
                    <w:rPr>
                      <w:rFonts w:eastAsia="楷体_GB2312"/>
                      <w:b/>
                      <w:color w:val="003366"/>
                      <w:sz w:val="24"/>
                    </w:rPr>
                  </w:pPr>
                </w:p>
              </w:tc>
            </w:tr>
            <w:tr w:rsidR="001A459A" w:rsidRPr="00F57D27">
              <w:trPr>
                <w:gridAfter w:val="1"/>
                <w:wAfter w:w="468" w:type="dxa"/>
                <w:trHeight w:hRule="exact" w:val="284"/>
              </w:trPr>
              <w:tc>
                <w:tcPr>
                  <w:tcW w:w="3420" w:type="dxa"/>
                </w:tcPr>
                <w:p w:rsidR="001A459A" w:rsidRPr="00F57D27" w:rsidRDefault="001A459A" w:rsidP="001A459A">
                  <w:pPr>
                    <w:rPr>
                      <w:rFonts w:ascii="黑体" w:eastAsia="黑体"/>
                      <w:b/>
                      <w:color w:val="003366"/>
                      <w:sz w:val="24"/>
                    </w:rPr>
                  </w:pPr>
                  <w:r w:rsidRPr="00F57D27">
                    <w:rPr>
                      <w:rFonts w:eastAsia="黑体" w:hint="eastAsia"/>
                      <w:b/>
                      <w:color w:val="003366"/>
                      <w:sz w:val="24"/>
                    </w:rPr>
                    <w:t>相关报告：</w:t>
                  </w:r>
                </w:p>
              </w:tc>
            </w:tr>
            <w:tr w:rsidR="001A459A" w:rsidRPr="00F57D27" w:rsidTr="00E44B3F">
              <w:trPr>
                <w:gridAfter w:val="1"/>
                <w:wAfter w:w="468" w:type="dxa"/>
                <w:trHeight w:hRule="exact" w:val="2396"/>
              </w:trPr>
              <w:tc>
                <w:tcPr>
                  <w:tcW w:w="3420" w:type="dxa"/>
                </w:tcPr>
                <w:p w:rsidR="000838AB" w:rsidRDefault="00406215" w:rsidP="004647C0">
                  <w:pPr>
                    <w:rPr>
                      <w:rFonts w:eastAsia="楷体_GB2312"/>
                      <w:sz w:val="18"/>
                      <w:szCs w:val="18"/>
                    </w:rPr>
                  </w:pPr>
                  <w:r>
                    <w:rPr>
                      <w:rFonts w:eastAsia="楷体_GB2312" w:hint="eastAsia"/>
                      <w:sz w:val="18"/>
                      <w:szCs w:val="18"/>
                    </w:rPr>
                    <w:t>2</w:t>
                  </w:r>
                  <w:r w:rsidRPr="00D46766">
                    <w:rPr>
                      <w:rFonts w:eastAsia="楷体_GB2312" w:hint="eastAsia"/>
                      <w:sz w:val="18"/>
                      <w:szCs w:val="18"/>
                    </w:rPr>
                    <w:t>0</w:t>
                  </w:r>
                  <w:r>
                    <w:rPr>
                      <w:rFonts w:eastAsia="楷体_GB2312" w:hint="eastAsia"/>
                      <w:sz w:val="18"/>
                      <w:szCs w:val="18"/>
                    </w:rPr>
                    <w:t>14</w:t>
                  </w:r>
                  <w:r w:rsidRPr="00D46766">
                    <w:rPr>
                      <w:rFonts w:eastAsia="楷体_GB2312" w:hint="eastAsia"/>
                      <w:sz w:val="18"/>
                      <w:szCs w:val="18"/>
                    </w:rPr>
                    <w:t>年</w:t>
                  </w:r>
                  <w:r>
                    <w:rPr>
                      <w:rFonts w:eastAsia="楷体_GB2312" w:hint="eastAsia"/>
                      <w:sz w:val="18"/>
                      <w:szCs w:val="18"/>
                    </w:rPr>
                    <w:t>2</w:t>
                  </w:r>
                  <w:r w:rsidRPr="00D46766">
                    <w:rPr>
                      <w:rFonts w:eastAsia="楷体_GB2312" w:hint="eastAsia"/>
                      <w:sz w:val="18"/>
                      <w:szCs w:val="18"/>
                    </w:rPr>
                    <w:t>月基金投资策略</w:t>
                  </w:r>
                  <w:r>
                    <w:rPr>
                      <w:rFonts w:eastAsia="楷体_GB2312" w:hint="eastAsia"/>
                      <w:sz w:val="18"/>
                      <w:szCs w:val="18"/>
                    </w:rPr>
                    <w:t>：</w:t>
                  </w:r>
                  <w:r w:rsidRPr="00406215">
                    <w:rPr>
                      <w:rFonts w:eastAsia="楷体_GB2312" w:hint="eastAsia"/>
                      <w:sz w:val="18"/>
                      <w:szCs w:val="18"/>
                    </w:rPr>
                    <w:t>改革预期升温，侧重配置具备估值优势的蓝筹基金</w:t>
                  </w:r>
                </w:p>
                <w:p w:rsidR="001365B3" w:rsidRDefault="00406215" w:rsidP="004647C0">
                  <w:pPr>
                    <w:rPr>
                      <w:rFonts w:eastAsia="楷体_GB2312"/>
                      <w:sz w:val="18"/>
                      <w:szCs w:val="18"/>
                    </w:rPr>
                  </w:pPr>
                  <w:r>
                    <w:rPr>
                      <w:rFonts w:eastAsia="楷体_GB2312" w:hint="eastAsia"/>
                      <w:sz w:val="18"/>
                      <w:szCs w:val="18"/>
                    </w:rPr>
                    <w:t>2</w:t>
                  </w:r>
                  <w:r w:rsidRPr="00D46766">
                    <w:rPr>
                      <w:rFonts w:eastAsia="楷体_GB2312" w:hint="eastAsia"/>
                      <w:sz w:val="18"/>
                      <w:szCs w:val="18"/>
                    </w:rPr>
                    <w:t>0</w:t>
                  </w:r>
                  <w:r>
                    <w:rPr>
                      <w:rFonts w:eastAsia="楷体_GB2312" w:hint="eastAsia"/>
                      <w:sz w:val="18"/>
                      <w:szCs w:val="18"/>
                    </w:rPr>
                    <w:t>14</w:t>
                  </w:r>
                  <w:r w:rsidRPr="00D46766">
                    <w:rPr>
                      <w:rFonts w:eastAsia="楷体_GB2312" w:hint="eastAsia"/>
                      <w:sz w:val="18"/>
                      <w:szCs w:val="18"/>
                    </w:rPr>
                    <w:t>年</w:t>
                  </w:r>
                  <w:r>
                    <w:rPr>
                      <w:rFonts w:eastAsia="楷体_GB2312" w:hint="eastAsia"/>
                      <w:sz w:val="18"/>
                      <w:szCs w:val="18"/>
                    </w:rPr>
                    <w:t>1</w:t>
                  </w:r>
                  <w:r w:rsidRPr="00D46766">
                    <w:rPr>
                      <w:rFonts w:eastAsia="楷体_GB2312" w:hint="eastAsia"/>
                      <w:sz w:val="18"/>
                      <w:szCs w:val="18"/>
                    </w:rPr>
                    <w:t>月基金投资策略</w:t>
                  </w:r>
                  <w:r>
                    <w:rPr>
                      <w:rFonts w:eastAsia="楷体_GB2312" w:hint="eastAsia"/>
                      <w:sz w:val="18"/>
                      <w:szCs w:val="18"/>
                    </w:rPr>
                    <w:t>：</w:t>
                  </w:r>
                  <w:r w:rsidRPr="007B2558">
                    <w:rPr>
                      <w:rFonts w:eastAsia="楷体_GB2312" w:hint="eastAsia"/>
                      <w:sz w:val="18"/>
                      <w:szCs w:val="18"/>
                    </w:rPr>
                    <w:t>市场维持震荡</w:t>
                  </w:r>
                  <w:r w:rsidRPr="007B2558">
                    <w:rPr>
                      <w:rFonts w:eastAsia="楷体_GB2312" w:hint="eastAsia"/>
                      <w:sz w:val="18"/>
                      <w:szCs w:val="18"/>
                    </w:rPr>
                    <w:t xml:space="preserve">, </w:t>
                  </w:r>
                  <w:r w:rsidRPr="007B2558">
                    <w:rPr>
                      <w:rFonts w:eastAsia="楷体_GB2312" w:hint="eastAsia"/>
                      <w:sz w:val="18"/>
                      <w:szCs w:val="18"/>
                    </w:rPr>
                    <w:t>重点关注基金行业把握能力和选股能力</w:t>
                  </w:r>
                </w:p>
                <w:p w:rsidR="00A15B9C" w:rsidRPr="00F21494" w:rsidRDefault="00A15B9C" w:rsidP="004647C0">
                  <w:pPr>
                    <w:rPr>
                      <w:rFonts w:eastAsia="楷体_GB2312"/>
                      <w:sz w:val="18"/>
                      <w:szCs w:val="18"/>
                    </w:rPr>
                  </w:pPr>
                </w:p>
                <w:p w:rsidR="00E44B3F" w:rsidRPr="00060998" w:rsidRDefault="00E44B3F" w:rsidP="004647C0">
                  <w:pPr>
                    <w:rPr>
                      <w:rFonts w:eastAsia="楷体_GB2312"/>
                      <w:sz w:val="18"/>
                      <w:szCs w:val="18"/>
                    </w:rPr>
                  </w:pPr>
                </w:p>
                <w:p w:rsidR="00E44B3F" w:rsidRPr="00E44B3F" w:rsidRDefault="00E44B3F" w:rsidP="004647C0">
                  <w:pPr>
                    <w:rPr>
                      <w:rFonts w:eastAsia="楷体_GB2312"/>
                      <w:sz w:val="18"/>
                      <w:szCs w:val="18"/>
                    </w:rPr>
                  </w:pPr>
                </w:p>
                <w:p w:rsidR="001A459A" w:rsidRPr="00734602" w:rsidRDefault="001A459A" w:rsidP="004647C0">
                  <w:pPr>
                    <w:rPr>
                      <w:rFonts w:eastAsia="黑体"/>
                      <w:b/>
                      <w:color w:val="003366"/>
                      <w:sz w:val="24"/>
                    </w:rPr>
                  </w:pPr>
                </w:p>
              </w:tc>
            </w:tr>
          </w:tbl>
          <w:p w:rsidR="001A459A" w:rsidRPr="00F57D27" w:rsidRDefault="001A459A" w:rsidP="001A459A">
            <w:pPr>
              <w:rPr>
                <w:rFonts w:eastAsia="楷体_GB2312"/>
                <w:b/>
                <w:color w:val="003366"/>
                <w:sz w:val="28"/>
                <w:szCs w:val="28"/>
              </w:rPr>
            </w:pPr>
          </w:p>
        </w:tc>
      </w:tr>
    </w:tbl>
    <w:p w:rsidR="00BE3940" w:rsidRPr="00A054FE" w:rsidRDefault="0005024E" w:rsidP="00BE3940">
      <w:pPr>
        <w:numPr>
          <w:ilvl w:val="0"/>
          <w:numId w:val="2"/>
        </w:numPr>
        <w:spacing w:line="360" w:lineRule="auto"/>
        <w:rPr>
          <w:rFonts w:ascii="黑体" w:eastAsia="黑体" w:hAnsi="宋体"/>
          <w:b/>
          <w:color w:val="003366"/>
          <w:sz w:val="24"/>
        </w:rPr>
      </w:pPr>
      <w:r>
        <w:rPr>
          <w:rFonts w:ascii="黑体" w:eastAsia="黑体" w:hAnsi="宋体"/>
          <w:b/>
          <w:noProof/>
          <w:color w:val="003366"/>
          <w:sz w:val="24"/>
        </w:rPr>
        <w:pict>
          <v:shape id="_x0000_s1032" type="#_x0000_t202" style="position:absolute;left:0;text-align:left;margin-left:-54pt;margin-top:-171.6pt;width:422.85pt;height:153.1pt;z-index:251656704;mso-position-horizontal-relative:text;mso-position-vertical-relative:text" fillcolor="#00326e" stroked="f">
            <v:textbox style="mso-next-textbox:#_x0000_s1032">
              <w:txbxContent>
                <w:p w:rsidR="00A422E1" w:rsidRPr="00C2401C" w:rsidRDefault="00A422E1" w:rsidP="00BE3940">
                  <w:pPr>
                    <w:rPr>
                      <w:rFonts w:ascii="宋体-18030" w:eastAsia="宋体-18030" w:hAnsi="宋体-18030" w:cs="宋体-18030"/>
                      <w:szCs w:val="21"/>
                    </w:rPr>
                  </w:pPr>
                </w:p>
                <w:p w:rsidR="00A422E1" w:rsidRPr="00C2401C" w:rsidRDefault="00A422E1" w:rsidP="00BE3940">
                  <w:pPr>
                    <w:jc w:val="right"/>
                    <w:rPr>
                      <w:rFonts w:ascii="宋体-18030" w:eastAsia="宋体-18030" w:hAnsi="宋体-18030" w:cs="宋体-18030"/>
                      <w:b/>
                      <w:szCs w:val="21"/>
                    </w:rPr>
                  </w:pPr>
                </w:p>
                <w:p w:rsidR="00A422E1" w:rsidRPr="00C2401C" w:rsidRDefault="00A422E1" w:rsidP="00BE3940">
                  <w:pPr>
                    <w:rPr>
                      <w:rFonts w:ascii="宋体-18030" w:eastAsia="宋体-18030" w:hAnsi="宋体-18030" w:cs="宋体-18030"/>
                      <w:szCs w:val="21"/>
                    </w:rPr>
                  </w:pPr>
                </w:p>
                <w:p w:rsidR="00A422E1" w:rsidRPr="00C2401C" w:rsidRDefault="00A422E1" w:rsidP="00BE3940">
                  <w:pPr>
                    <w:rPr>
                      <w:rFonts w:ascii="宋体-18030" w:eastAsia="宋体-18030" w:hAnsi="宋体-18030" w:cs="宋体-18030"/>
                      <w:szCs w:val="21"/>
                    </w:rPr>
                  </w:pPr>
                </w:p>
                <w:p w:rsidR="00A422E1" w:rsidRDefault="00A422E1" w:rsidP="00CD5982">
                  <w:pPr>
                    <w:ind w:right="150"/>
                    <w:jc w:val="right"/>
                    <w:rPr>
                      <w:rFonts w:ascii="黑体" w:eastAsia="黑体" w:hAnsi="宋体" w:cs="宋体-18030"/>
                      <w:b/>
                      <w:color w:val="FFFFFF"/>
                      <w:sz w:val="30"/>
                      <w:szCs w:val="30"/>
                    </w:rPr>
                  </w:pPr>
                  <w:r w:rsidRPr="003744D3">
                    <w:rPr>
                      <w:rFonts w:ascii="黑体" w:eastAsia="黑体" w:hAnsi="宋体" w:cs="宋体-18030"/>
                      <w:b/>
                      <w:color w:val="FFFFFF"/>
                      <w:sz w:val="30"/>
                      <w:szCs w:val="30"/>
                    </w:rPr>
                    <w:t></w:t>
                  </w:r>
                  <w:r w:rsidRPr="003744D3">
                    <w:rPr>
                      <w:rFonts w:ascii="黑体" w:eastAsia="黑体" w:hAnsi="宋体" w:cs="宋体-18030"/>
                      <w:b/>
                      <w:color w:val="FFFFFF"/>
                      <w:sz w:val="30"/>
                      <w:szCs w:val="30"/>
                    </w:rPr>
                    <w:tab/>
                  </w:r>
                  <w:r w:rsidR="007070BF">
                    <w:rPr>
                      <w:rFonts w:ascii="黑体" w:eastAsia="黑体" w:hAnsi="宋体" w:cs="宋体-18030" w:hint="eastAsia"/>
                      <w:b/>
                      <w:color w:val="FFFFFF"/>
                      <w:sz w:val="30"/>
                      <w:szCs w:val="30"/>
                    </w:rPr>
                    <w:t>市场机会大于风险</w:t>
                  </w:r>
                  <w:r>
                    <w:rPr>
                      <w:rFonts w:ascii="黑体" w:eastAsia="黑体" w:hAnsi="宋体" w:cs="宋体-18030" w:hint="eastAsia"/>
                      <w:b/>
                      <w:color w:val="FFFFFF"/>
                      <w:sz w:val="30"/>
                      <w:szCs w:val="30"/>
                    </w:rPr>
                    <w:t>，</w:t>
                  </w:r>
                  <w:r w:rsidRPr="008E2183">
                    <w:rPr>
                      <w:rFonts w:ascii="黑体" w:eastAsia="黑体" w:hAnsi="宋体" w:cs="宋体-18030" w:hint="eastAsia"/>
                      <w:b/>
                      <w:color w:val="FFFFFF"/>
                      <w:sz w:val="30"/>
                      <w:szCs w:val="30"/>
                    </w:rPr>
                    <w:t>蓝筹</w:t>
                  </w:r>
                  <w:r w:rsidR="007070BF">
                    <w:rPr>
                      <w:rFonts w:ascii="黑体" w:eastAsia="黑体" w:hAnsi="宋体" w:cs="宋体-18030" w:hint="eastAsia"/>
                      <w:b/>
                      <w:color w:val="FFFFFF"/>
                      <w:sz w:val="30"/>
                      <w:szCs w:val="30"/>
                    </w:rPr>
                    <w:t>为主成长为辅配置基金</w:t>
                  </w:r>
                </w:p>
                <w:p w:rsidR="00A422E1" w:rsidRPr="00B825E8" w:rsidRDefault="00A422E1" w:rsidP="00764C61">
                  <w:pPr>
                    <w:jc w:val="right"/>
                    <w:rPr>
                      <w:rFonts w:ascii="黑体" w:eastAsia="黑体" w:hAnsi="宋体" w:cs="宋体-18030"/>
                      <w:b/>
                      <w:color w:val="FFFFFF"/>
                      <w:sz w:val="30"/>
                      <w:szCs w:val="30"/>
                    </w:rPr>
                  </w:pPr>
                </w:p>
                <w:p w:rsidR="00A422E1" w:rsidRPr="004E3270" w:rsidRDefault="00A422E1" w:rsidP="00F84017">
                  <w:pPr>
                    <w:wordWrap w:val="0"/>
                    <w:jc w:val="right"/>
                    <w:rPr>
                      <w:rFonts w:ascii="楷体_GB2312" w:eastAsia="楷体_GB2312"/>
                      <w:b/>
                      <w:szCs w:val="21"/>
                    </w:rPr>
                  </w:pPr>
                  <w:r>
                    <w:rPr>
                      <w:rFonts w:ascii="楷体_GB2312" w:eastAsia="楷体_GB2312" w:hint="eastAsia"/>
                      <w:b/>
                      <w:szCs w:val="21"/>
                    </w:rPr>
                    <w:t>--</w:t>
                  </w:r>
                  <w:r w:rsidRPr="004E62DA">
                    <w:rPr>
                      <w:rFonts w:hint="eastAsia"/>
                    </w:rPr>
                    <w:t xml:space="preserve"> </w:t>
                  </w:r>
                  <w:r>
                    <w:rPr>
                      <w:rFonts w:ascii="楷体_GB2312" w:eastAsia="楷体_GB2312" w:hint="eastAsia"/>
                      <w:b/>
                      <w:szCs w:val="21"/>
                    </w:rPr>
                    <w:t>2014</w:t>
                  </w:r>
                  <w:r w:rsidRPr="004E62DA">
                    <w:rPr>
                      <w:rFonts w:ascii="楷体_GB2312" w:eastAsia="楷体_GB2312" w:hint="eastAsia"/>
                      <w:b/>
                      <w:szCs w:val="21"/>
                    </w:rPr>
                    <w:t>年</w:t>
                  </w:r>
                  <w:r w:rsidR="00C908B1">
                    <w:rPr>
                      <w:rFonts w:ascii="楷体_GB2312" w:eastAsia="楷体_GB2312" w:hint="eastAsia"/>
                      <w:b/>
                      <w:szCs w:val="21"/>
                    </w:rPr>
                    <w:t>3</w:t>
                  </w:r>
                  <w:r>
                    <w:rPr>
                      <w:rFonts w:ascii="楷体_GB2312" w:eastAsia="楷体_GB2312" w:hint="eastAsia"/>
                      <w:b/>
                      <w:szCs w:val="21"/>
                    </w:rPr>
                    <w:t>月基</w:t>
                  </w:r>
                  <w:r w:rsidRPr="004E62DA">
                    <w:rPr>
                      <w:rFonts w:ascii="楷体_GB2312" w:eastAsia="楷体_GB2312" w:hint="eastAsia"/>
                      <w:b/>
                      <w:szCs w:val="21"/>
                    </w:rPr>
                    <w:t>金投资策略</w:t>
                  </w:r>
                  <w:r>
                    <w:rPr>
                      <w:rFonts w:ascii="楷体_GB2312" w:eastAsia="楷体_GB2312" w:hint="eastAsia"/>
                      <w:b/>
                      <w:szCs w:val="21"/>
                    </w:rPr>
                    <w:t xml:space="preserve">   </w:t>
                  </w:r>
                </w:p>
                <w:p w:rsidR="00A422E1" w:rsidRPr="00AF7DC8" w:rsidRDefault="00A422E1" w:rsidP="00AF7DC8">
                  <w:pPr>
                    <w:spacing w:line="360" w:lineRule="auto"/>
                    <w:jc w:val="center"/>
                    <w:rPr>
                      <w:rFonts w:ascii="黑体" w:eastAsia="黑体" w:hAnsi="宋体" w:cs="宋体-18030"/>
                      <w:b/>
                      <w:color w:val="FFFFFF"/>
                      <w:sz w:val="30"/>
                      <w:szCs w:val="30"/>
                    </w:rPr>
                  </w:pPr>
                </w:p>
              </w:txbxContent>
            </v:textbox>
          </v:shape>
        </w:pict>
      </w:r>
      <w:r w:rsidR="00BE3940" w:rsidRPr="00A054FE">
        <w:rPr>
          <w:rFonts w:ascii="黑体" w:eastAsia="黑体" w:hAnsi="宋体" w:hint="eastAsia"/>
          <w:b/>
          <w:color w:val="003366"/>
          <w:sz w:val="24"/>
        </w:rPr>
        <w:t>主要观点：</w:t>
      </w:r>
    </w:p>
    <w:p w:rsidR="00235F92" w:rsidRPr="007A2D23" w:rsidRDefault="00406215" w:rsidP="00235F92">
      <w:pPr>
        <w:numPr>
          <w:ilvl w:val="0"/>
          <w:numId w:val="2"/>
        </w:numPr>
        <w:rPr>
          <w:rFonts w:ascii="黑体" w:eastAsia="黑体" w:hAnsi="宋体-18030" w:cs="宋体-18030"/>
          <w:b/>
          <w:bCs/>
          <w:color w:val="003366"/>
          <w:kern w:val="44"/>
          <w:szCs w:val="21"/>
        </w:rPr>
      </w:pPr>
      <w:r w:rsidRPr="00406215">
        <w:rPr>
          <w:rFonts w:ascii="黑体" w:eastAsia="黑体" w:hAnsi="宋体-18030" w:cs="宋体-18030" w:hint="eastAsia"/>
          <w:b/>
          <w:bCs/>
          <w:color w:val="003366"/>
          <w:kern w:val="44"/>
          <w:szCs w:val="21"/>
        </w:rPr>
        <w:t>主题性机会频现，市场机会大于风险</w:t>
      </w:r>
    </w:p>
    <w:p w:rsidR="000F4D4B" w:rsidRDefault="000F4D4B" w:rsidP="008462A9">
      <w:pPr>
        <w:ind w:firstLine="420"/>
        <w:rPr>
          <w:rFonts w:ascii="楷体_GB2312" w:eastAsia="楷体_GB2312" w:hAnsi="宋体" w:cs="宋体"/>
          <w:kern w:val="0"/>
          <w:szCs w:val="21"/>
        </w:rPr>
      </w:pPr>
      <w:r>
        <w:rPr>
          <w:rFonts w:ascii="楷体_GB2312" w:eastAsia="楷体_GB2312" w:hAnsi="宋体" w:cs="宋体" w:hint="eastAsia"/>
          <w:kern w:val="0"/>
          <w:szCs w:val="21"/>
        </w:rPr>
        <w:t>欧元区经济景气不断向好，经济复苏的基础正在加强，美国制造业、房地产市场数据显现经济仍处于改善的轨道上，</w:t>
      </w:r>
      <w:r w:rsidR="003B4BC7">
        <w:rPr>
          <w:rFonts w:ascii="楷体_GB2312" w:eastAsia="楷体_GB2312" w:hAnsi="宋体" w:cs="宋体" w:hint="eastAsia"/>
          <w:kern w:val="0"/>
          <w:szCs w:val="21"/>
        </w:rPr>
        <w:t>发达</w:t>
      </w:r>
      <w:r w:rsidR="003B4BC7" w:rsidRPr="00CB03D0">
        <w:rPr>
          <w:rFonts w:ascii="楷体_GB2312" w:eastAsia="楷体_GB2312" w:hAnsi="宋体" w:cs="宋体" w:hint="eastAsia"/>
          <w:kern w:val="0"/>
          <w:szCs w:val="21"/>
        </w:rPr>
        <w:t>经济</w:t>
      </w:r>
      <w:r w:rsidR="003B4BC7">
        <w:rPr>
          <w:rFonts w:ascii="楷体_GB2312" w:eastAsia="楷体_GB2312" w:hAnsi="宋体" w:cs="宋体" w:hint="eastAsia"/>
          <w:kern w:val="0"/>
          <w:szCs w:val="21"/>
        </w:rPr>
        <w:t>体经济复苏基础</w:t>
      </w:r>
      <w:r w:rsidR="003B4BC7" w:rsidRPr="00CB03D0">
        <w:rPr>
          <w:rFonts w:ascii="楷体_GB2312" w:eastAsia="楷体_GB2312" w:hAnsi="宋体" w:cs="宋体" w:hint="eastAsia"/>
          <w:kern w:val="0"/>
          <w:szCs w:val="21"/>
        </w:rPr>
        <w:t>加强</w:t>
      </w:r>
      <w:r w:rsidR="003B4BC7">
        <w:rPr>
          <w:rFonts w:ascii="楷体_GB2312" w:eastAsia="楷体_GB2312" w:hAnsi="宋体" w:cs="宋体" w:hint="eastAsia"/>
          <w:kern w:val="0"/>
          <w:szCs w:val="21"/>
        </w:rPr>
        <w:t>，助推成熟市场走稳，</w:t>
      </w:r>
      <w:r>
        <w:rPr>
          <w:rFonts w:ascii="楷体_GB2312" w:eastAsia="楷体_GB2312" w:hAnsi="宋体" w:cs="宋体" w:hint="eastAsia"/>
          <w:kern w:val="0"/>
          <w:szCs w:val="21"/>
        </w:rPr>
        <w:t>新兴市场经济</w:t>
      </w:r>
      <w:r w:rsidR="003B4BC7">
        <w:rPr>
          <w:rFonts w:ascii="楷体_GB2312" w:eastAsia="楷体_GB2312" w:hAnsi="宋体" w:cs="宋体" w:hint="eastAsia"/>
          <w:kern w:val="0"/>
          <w:szCs w:val="21"/>
        </w:rPr>
        <w:t>继续面临资本流出压力</w:t>
      </w:r>
      <w:r>
        <w:rPr>
          <w:rFonts w:ascii="楷体_GB2312" w:eastAsia="楷体_GB2312" w:hAnsi="宋体" w:cs="宋体" w:hint="eastAsia"/>
          <w:kern w:val="0"/>
          <w:szCs w:val="21"/>
        </w:rPr>
        <w:t>。</w:t>
      </w:r>
    </w:p>
    <w:p w:rsidR="00ED6984" w:rsidRPr="00ED6984" w:rsidRDefault="00ED6984" w:rsidP="00377D61">
      <w:pPr>
        <w:ind w:firstLine="420"/>
        <w:rPr>
          <w:rFonts w:ascii="楷体_GB2312" w:eastAsia="楷体_GB2312" w:hAnsi="宋体" w:cs="宋体"/>
          <w:kern w:val="0"/>
          <w:szCs w:val="21"/>
        </w:rPr>
      </w:pPr>
      <w:r>
        <w:rPr>
          <w:rFonts w:ascii="楷体_GB2312" w:eastAsia="楷体_GB2312" w:hAnsi="宋体" w:cs="宋体" w:hint="eastAsia"/>
          <w:kern w:val="0"/>
          <w:szCs w:val="21"/>
        </w:rPr>
        <w:t>中国经济增长动能仍然偏弱，在利率市场化和经济转型的大背景下，当前市场仍然缺乏趋势性机会。但</w:t>
      </w:r>
      <w:r w:rsidRPr="00ED6984">
        <w:rPr>
          <w:rFonts w:ascii="楷体_GB2312" w:eastAsia="楷体_GB2312" w:hAnsi="宋体" w:cs="宋体" w:hint="eastAsia"/>
          <w:kern w:val="0"/>
          <w:szCs w:val="21"/>
        </w:rPr>
        <w:t>经济增速放缓仍在政府和市场的预期范围之内，且目前市场估值水平已经充分反映这一预期，市场进一步大幅下跌的可能性很小；随着两</w:t>
      </w:r>
      <w:r w:rsidR="00406215">
        <w:rPr>
          <w:rFonts w:ascii="楷体_GB2312" w:eastAsia="楷体_GB2312" w:hAnsi="宋体" w:cs="宋体" w:hint="eastAsia"/>
          <w:kern w:val="0"/>
          <w:szCs w:val="21"/>
        </w:rPr>
        <w:t>会政策出台，市场主题性机会不断涌现，诱发近期市场愈发活跃，</w:t>
      </w:r>
      <w:r w:rsidRPr="00ED6984">
        <w:rPr>
          <w:rFonts w:ascii="楷体_GB2312" w:eastAsia="楷体_GB2312" w:hAnsi="宋体" w:cs="宋体" w:hint="eastAsia"/>
          <w:kern w:val="0"/>
          <w:szCs w:val="21"/>
        </w:rPr>
        <w:t>当前市场机会大于风险。</w:t>
      </w:r>
    </w:p>
    <w:p w:rsidR="00377D61" w:rsidRPr="0050054F" w:rsidRDefault="00653334" w:rsidP="00377D61">
      <w:pPr>
        <w:numPr>
          <w:ilvl w:val="0"/>
          <w:numId w:val="2"/>
        </w:numPr>
        <w:rPr>
          <w:rFonts w:ascii="黑体" w:eastAsia="黑体" w:hAnsi="宋体-18030" w:cs="宋体-18030"/>
          <w:b/>
          <w:bCs/>
          <w:color w:val="003366"/>
          <w:kern w:val="44"/>
          <w:szCs w:val="21"/>
        </w:rPr>
      </w:pPr>
      <w:r>
        <w:rPr>
          <w:rFonts w:ascii="黑体" w:eastAsia="黑体" w:hAnsi="宋体-18030" w:cs="宋体-18030" w:hint="eastAsia"/>
          <w:b/>
          <w:bCs/>
          <w:color w:val="003366"/>
          <w:kern w:val="44"/>
          <w:szCs w:val="21"/>
        </w:rPr>
        <w:t>价值为主</w:t>
      </w:r>
      <w:r w:rsidR="007070BF" w:rsidRPr="007070BF">
        <w:rPr>
          <w:rFonts w:ascii="黑体" w:eastAsia="黑体" w:hAnsi="宋体-18030" w:cs="宋体-18030" w:hint="eastAsia"/>
          <w:b/>
          <w:bCs/>
          <w:color w:val="003366"/>
          <w:kern w:val="44"/>
          <w:szCs w:val="21"/>
        </w:rPr>
        <w:t>成长为辅配置基金</w:t>
      </w:r>
    </w:p>
    <w:p w:rsidR="009F26DF" w:rsidRPr="009F26DF" w:rsidRDefault="00ED6984" w:rsidP="009F26DF">
      <w:pPr>
        <w:ind w:firstLine="420"/>
        <w:rPr>
          <w:rFonts w:ascii="楷体_GB2312" w:eastAsia="楷体_GB2312" w:hAnsi="宋体" w:cs="宋体"/>
          <w:color w:val="000000"/>
          <w:kern w:val="0"/>
          <w:szCs w:val="21"/>
        </w:rPr>
      </w:pPr>
      <w:r w:rsidRPr="00ED6984">
        <w:rPr>
          <w:rFonts w:ascii="楷体_GB2312" w:eastAsia="楷体_GB2312" w:hAnsi="宋体" w:cs="宋体" w:hint="eastAsia"/>
          <w:color w:val="000000"/>
          <w:kern w:val="0"/>
          <w:szCs w:val="21"/>
        </w:rPr>
        <w:t>中短期内震荡和结构性行情是主基调。建议高风险偏好的投资者和阶段性投资者密切关注政策主题，积极把握短期市场结构性机会；建议中低风险投资者和配置型投资者均衡布局，把握股市长期投资价值。</w:t>
      </w:r>
      <w:r w:rsidR="009F26DF" w:rsidRPr="009F26DF">
        <w:rPr>
          <w:rFonts w:ascii="楷体_GB2312" w:eastAsia="楷体_GB2312" w:hAnsi="宋体" w:cs="宋体" w:hint="eastAsia"/>
          <w:color w:val="000000"/>
          <w:kern w:val="0"/>
          <w:szCs w:val="21"/>
        </w:rPr>
        <w:t>。</w:t>
      </w:r>
    </w:p>
    <w:p w:rsidR="00857E45" w:rsidRPr="00857E45" w:rsidRDefault="00ED6984" w:rsidP="00857E45">
      <w:pPr>
        <w:ind w:firstLine="420"/>
        <w:rPr>
          <w:rFonts w:ascii="楷体_GB2312" w:eastAsia="楷体_GB2312" w:hAnsi="宋体" w:cs="宋体"/>
          <w:color w:val="000000"/>
          <w:kern w:val="0"/>
          <w:szCs w:val="21"/>
        </w:rPr>
      </w:pPr>
      <w:r w:rsidRPr="00A62EB3">
        <w:rPr>
          <w:rFonts w:ascii="楷体_GB2312" w:eastAsia="楷体_GB2312" w:hAnsi="宋体" w:cs="宋体" w:hint="eastAsia"/>
          <w:kern w:val="0"/>
          <w:szCs w:val="21"/>
        </w:rPr>
        <w:t>权益类基金方面，建议投资者短期</w:t>
      </w:r>
      <w:r>
        <w:rPr>
          <w:rFonts w:ascii="楷体_GB2312" w:eastAsia="楷体_GB2312" w:hAnsi="宋体" w:cs="宋体" w:hint="eastAsia"/>
          <w:kern w:val="0"/>
          <w:szCs w:val="21"/>
        </w:rPr>
        <w:t>内保持相对</w:t>
      </w:r>
      <w:r w:rsidRPr="00A62EB3">
        <w:rPr>
          <w:rFonts w:ascii="楷体_GB2312" w:eastAsia="楷体_GB2312" w:hAnsi="宋体" w:cs="宋体" w:hint="eastAsia"/>
          <w:kern w:val="0"/>
          <w:szCs w:val="21"/>
        </w:rPr>
        <w:t>乐观</w:t>
      </w:r>
      <w:r>
        <w:rPr>
          <w:rFonts w:ascii="楷体_GB2312" w:eastAsia="楷体_GB2312" w:hAnsi="宋体" w:cs="宋体" w:hint="eastAsia"/>
          <w:kern w:val="0"/>
          <w:szCs w:val="21"/>
        </w:rPr>
        <w:t>态度</w:t>
      </w:r>
      <w:r w:rsidRPr="00A62EB3">
        <w:rPr>
          <w:rFonts w:ascii="楷体_GB2312" w:eastAsia="楷体_GB2312" w:hAnsi="宋体" w:cs="宋体" w:hint="eastAsia"/>
          <w:kern w:val="0"/>
          <w:szCs w:val="21"/>
        </w:rPr>
        <w:t>，</w:t>
      </w:r>
      <w:r>
        <w:rPr>
          <w:rFonts w:ascii="楷体_GB2312" w:eastAsia="楷体_GB2312" w:hAnsi="宋体" w:cs="宋体" w:hint="eastAsia"/>
          <w:kern w:val="0"/>
          <w:szCs w:val="21"/>
        </w:rPr>
        <w:t>立足于改革和创新主线，</w:t>
      </w:r>
      <w:r w:rsidRPr="00A62EB3">
        <w:rPr>
          <w:rFonts w:ascii="楷体_GB2312" w:eastAsia="楷体_GB2312" w:hAnsi="宋体" w:cs="宋体" w:hint="eastAsia"/>
          <w:kern w:val="0"/>
          <w:szCs w:val="21"/>
        </w:rPr>
        <w:t>积极关注</w:t>
      </w:r>
      <w:r>
        <w:rPr>
          <w:rFonts w:ascii="楷体_GB2312" w:eastAsia="楷体_GB2312" w:hAnsi="宋体" w:cs="宋体" w:hint="eastAsia"/>
          <w:kern w:val="0"/>
          <w:szCs w:val="21"/>
        </w:rPr>
        <w:t>国企改革、</w:t>
      </w:r>
      <w:r w:rsidRPr="00A62EB3">
        <w:rPr>
          <w:rFonts w:ascii="楷体_GB2312" w:eastAsia="楷体_GB2312" w:hAnsi="宋体" w:cs="宋体" w:hint="eastAsia"/>
          <w:kern w:val="0"/>
          <w:szCs w:val="21"/>
        </w:rPr>
        <w:t>节能环保、高端装备制造、公用事业等受益政策推动的主题性机会。</w:t>
      </w:r>
      <w:r w:rsidR="0086721E">
        <w:rPr>
          <w:rFonts w:ascii="楷体_GB2312" w:eastAsia="楷体_GB2312" w:hAnsi="宋体" w:cs="宋体" w:hint="eastAsia"/>
          <w:kern w:val="0"/>
          <w:szCs w:val="21"/>
        </w:rPr>
        <w:t>建议投资者以蓝筹基金为主、成长基金为辅，核心配置</w:t>
      </w:r>
      <w:r w:rsidR="0086721E" w:rsidRPr="004D1516">
        <w:rPr>
          <w:rFonts w:ascii="楷体_GB2312" w:eastAsia="楷体_GB2312" w:hAnsi="宋体" w:cs="宋体" w:hint="eastAsia"/>
          <w:kern w:val="0"/>
          <w:szCs w:val="21"/>
        </w:rPr>
        <w:t>倍具估值优势的蓝筹类绩优基金，把握确定性收益，</w:t>
      </w:r>
      <w:r w:rsidR="0086721E">
        <w:rPr>
          <w:rFonts w:ascii="楷体_GB2312" w:eastAsia="楷体_GB2312" w:hAnsi="宋体" w:cs="宋体" w:hint="eastAsia"/>
          <w:kern w:val="0"/>
          <w:szCs w:val="21"/>
        </w:rPr>
        <w:t>卫星配置</w:t>
      </w:r>
      <w:r w:rsidR="0086721E" w:rsidRPr="004D1516">
        <w:rPr>
          <w:rFonts w:ascii="楷体_GB2312" w:eastAsia="楷体_GB2312" w:hAnsi="宋体" w:cs="宋体" w:hint="eastAsia"/>
          <w:kern w:val="0"/>
          <w:szCs w:val="21"/>
        </w:rPr>
        <w:t>配置成长类基金，</w:t>
      </w:r>
      <w:r w:rsidR="0086721E">
        <w:rPr>
          <w:rFonts w:ascii="楷体_GB2312" w:eastAsia="楷体_GB2312" w:hAnsi="宋体" w:cs="宋体" w:hint="eastAsia"/>
          <w:kern w:val="0"/>
          <w:szCs w:val="21"/>
        </w:rPr>
        <w:t>追求市场波动带来的超额收益</w:t>
      </w:r>
      <w:r w:rsidR="000440AF">
        <w:rPr>
          <w:rFonts w:ascii="楷体_GB2312" w:eastAsia="楷体_GB2312" w:hAnsi="宋体" w:cs="宋体" w:hint="eastAsia"/>
          <w:color w:val="000000"/>
          <w:kern w:val="0"/>
          <w:szCs w:val="21"/>
        </w:rPr>
        <w:t>。</w:t>
      </w:r>
    </w:p>
    <w:p w:rsidR="00B1290C" w:rsidRDefault="0086721E" w:rsidP="009F26DF">
      <w:pPr>
        <w:ind w:firstLine="420"/>
        <w:rPr>
          <w:rFonts w:ascii="楷体_GB2312" w:eastAsia="楷体_GB2312" w:hAnsi="宋体" w:cs="宋体"/>
          <w:color w:val="000000"/>
          <w:kern w:val="0"/>
          <w:szCs w:val="21"/>
        </w:rPr>
      </w:pPr>
      <w:r w:rsidRPr="0087531E">
        <w:rPr>
          <w:rFonts w:ascii="楷体_GB2312" w:eastAsia="楷体_GB2312" w:hAnsi="宋体" w:cs="宋体" w:hint="eastAsia"/>
          <w:kern w:val="0"/>
          <w:szCs w:val="21"/>
        </w:rPr>
        <w:t>固定收益率基金方面，建议投资者重点关注重仓短久期、高信用评级券种的绩优基金，适当回避杠杆率过高且高度重仓低信用评级的债券型基金；建议保守型投资者积极关注市场资金价格持续高企背景下货币市场基金的良好投资机会</w:t>
      </w:r>
      <w:r w:rsidR="00CD49A1">
        <w:rPr>
          <w:rFonts w:ascii="楷体_GB2312" w:eastAsia="楷体_GB2312" w:hAnsi="宋体" w:cs="宋体" w:hint="eastAsia"/>
          <w:kern w:val="0"/>
          <w:szCs w:val="21"/>
        </w:rPr>
        <w:t>。</w:t>
      </w:r>
    </w:p>
    <w:p w:rsidR="00FB2850" w:rsidRPr="002E27C6" w:rsidRDefault="009F26DF" w:rsidP="009F26DF">
      <w:pPr>
        <w:ind w:firstLine="420"/>
        <w:rPr>
          <w:rFonts w:ascii="楷体_GB2312" w:eastAsia="楷体_GB2312" w:hAnsi="宋体" w:cs="宋体"/>
          <w:kern w:val="0"/>
          <w:szCs w:val="21"/>
        </w:rPr>
      </w:pPr>
      <w:r w:rsidRPr="009F26DF">
        <w:rPr>
          <w:rFonts w:ascii="楷体_GB2312" w:eastAsia="楷体_GB2312" w:hAnsi="宋体" w:cs="宋体" w:hint="eastAsia"/>
          <w:color w:val="000000"/>
          <w:kern w:val="0"/>
          <w:szCs w:val="21"/>
        </w:rPr>
        <w:t>QDII方面，</w:t>
      </w:r>
      <w:r w:rsidR="0086721E">
        <w:rPr>
          <w:rFonts w:ascii="楷体_GB2312" w:eastAsia="楷体_GB2312" w:hAnsi="宋体" w:cs="宋体" w:hint="eastAsia"/>
          <w:color w:val="000000"/>
          <w:kern w:val="0"/>
          <w:szCs w:val="21"/>
        </w:rPr>
        <w:t>维持上期判断，</w:t>
      </w:r>
      <w:r w:rsidRPr="009F26DF">
        <w:rPr>
          <w:rFonts w:ascii="楷体_GB2312" w:eastAsia="楷体_GB2312" w:hAnsi="宋体" w:cs="宋体" w:hint="eastAsia"/>
          <w:color w:val="000000"/>
          <w:kern w:val="0"/>
          <w:szCs w:val="21"/>
        </w:rPr>
        <w:t>建议投资者侧重于关注主要投资发达国家股票市场，尤其是</w:t>
      </w:r>
      <w:r w:rsidR="00CD49A1">
        <w:rPr>
          <w:rFonts w:ascii="楷体_GB2312" w:eastAsia="楷体_GB2312" w:hAnsi="宋体" w:cs="宋体" w:hint="eastAsia"/>
          <w:color w:val="000000"/>
          <w:kern w:val="0"/>
          <w:szCs w:val="21"/>
        </w:rPr>
        <w:t>投资美股</w:t>
      </w:r>
      <w:r w:rsidRPr="009F26DF">
        <w:rPr>
          <w:rFonts w:ascii="楷体_GB2312" w:eastAsia="楷体_GB2312" w:hAnsi="宋体" w:cs="宋体" w:hint="eastAsia"/>
          <w:color w:val="000000"/>
          <w:kern w:val="0"/>
          <w:szCs w:val="21"/>
        </w:rPr>
        <w:t>的QDII，适当回避主要投资新兴市场的QDII</w:t>
      </w:r>
      <w:r w:rsidR="00D60CAD">
        <w:rPr>
          <w:rFonts w:ascii="楷体_GB2312" w:eastAsia="楷体_GB2312" w:hAnsi="宋体" w:cs="宋体" w:hint="eastAsia"/>
          <w:color w:val="000000"/>
          <w:kern w:val="0"/>
          <w:szCs w:val="21"/>
        </w:rPr>
        <w:t>，</w:t>
      </w:r>
      <w:r w:rsidRPr="009F26DF">
        <w:rPr>
          <w:rFonts w:ascii="楷体_GB2312" w:eastAsia="楷体_GB2312" w:hAnsi="宋体" w:cs="宋体" w:hint="eastAsia"/>
          <w:color w:val="000000"/>
          <w:kern w:val="0"/>
          <w:szCs w:val="21"/>
        </w:rPr>
        <w:t>回避资源品、商品类QDII</w:t>
      </w:r>
      <w:r w:rsidR="00F84017">
        <w:rPr>
          <w:rFonts w:ascii="楷体_GB2312" w:eastAsia="楷体_GB2312" w:hAnsi="宋体" w:cs="宋体" w:hint="eastAsia"/>
          <w:kern w:val="0"/>
          <w:szCs w:val="21"/>
        </w:rPr>
        <w:t>。</w:t>
      </w:r>
    </w:p>
    <w:p w:rsidR="006F51D7" w:rsidRDefault="00377D61" w:rsidP="00377D61">
      <w:pPr>
        <w:ind w:firstLine="420"/>
        <w:rPr>
          <w:rFonts w:ascii="楷体_GB2312" w:eastAsia="楷体_GB2312" w:hAnsi="宋体" w:cs="宋体"/>
          <w:kern w:val="0"/>
          <w:szCs w:val="21"/>
        </w:rPr>
      </w:pPr>
      <w:r w:rsidRPr="0050054F">
        <w:rPr>
          <w:rFonts w:ascii="黑体" w:eastAsia="黑体" w:hAnsi="宋体" w:hint="eastAsia"/>
          <w:b/>
          <w:color w:val="003366"/>
          <w:szCs w:val="21"/>
        </w:rPr>
        <w:t>组合推荐：</w:t>
      </w:r>
      <w:r w:rsidR="00B149DD" w:rsidRPr="003A2393">
        <w:rPr>
          <w:rFonts w:ascii="楷体_GB2312" w:eastAsia="楷体_GB2312" w:hAnsi="宋体" w:cs="宋体" w:hint="eastAsia"/>
          <w:kern w:val="0"/>
          <w:szCs w:val="21"/>
        </w:rPr>
        <w:t>具体到组合构建上，我们在“市场机会大于风险。</w:t>
      </w:r>
      <w:r w:rsidR="00B149DD" w:rsidRPr="00B149DD">
        <w:rPr>
          <w:rFonts w:ascii="楷体_GB2312" w:eastAsia="楷体_GB2312" w:hAnsi="宋体" w:cs="宋体"/>
          <w:kern w:val="0"/>
          <w:szCs w:val="21"/>
        </w:rPr>
        <w:t></w:t>
      </w:r>
      <w:r w:rsidR="00B149DD" w:rsidRPr="00B149DD">
        <w:rPr>
          <w:rFonts w:ascii="楷体_GB2312" w:eastAsia="楷体_GB2312" w:hAnsi="宋体" w:cs="宋体"/>
          <w:kern w:val="0"/>
          <w:szCs w:val="21"/>
        </w:rPr>
        <w:tab/>
      </w:r>
      <w:r w:rsidR="00653334">
        <w:rPr>
          <w:rFonts w:ascii="楷体_GB2312" w:eastAsia="楷体_GB2312" w:hAnsi="宋体" w:cs="宋体" w:hint="eastAsia"/>
          <w:kern w:val="0"/>
          <w:szCs w:val="21"/>
        </w:rPr>
        <w:t>价值为主</w:t>
      </w:r>
      <w:r w:rsidR="00B149DD" w:rsidRPr="00B149DD">
        <w:rPr>
          <w:rFonts w:ascii="楷体_GB2312" w:eastAsia="楷体_GB2312" w:hAnsi="宋体" w:cs="宋体" w:hint="eastAsia"/>
          <w:kern w:val="0"/>
          <w:szCs w:val="21"/>
        </w:rPr>
        <w:t>成长为辅配置基金</w:t>
      </w:r>
      <w:r w:rsidR="00B149DD" w:rsidRPr="003A2393">
        <w:rPr>
          <w:rFonts w:ascii="楷体_GB2312" w:eastAsia="楷体_GB2312" w:hAnsi="宋体" w:cs="宋体" w:hint="eastAsia"/>
          <w:kern w:val="0"/>
          <w:szCs w:val="21"/>
        </w:rPr>
        <w:t>”的基金投资策略指引下，充分考虑资产配置、行业结构、投资风格分散化原则，构建投资组合以供投资参考</w:t>
      </w:r>
      <w:r w:rsidR="00DE5911">
        <w:rPr>
          <w:rFonts w:ascii="楷体_GB2312" w:eastAsia="楷体_GB2312" w:hint="eastAsia"/>
          <w:noProof/>
        </w:rPr>
        <w:t>。</w:t>
      </w:r>
      <w:r w:rsidR="005E24D9" w:rsidRPr="003A2393">
        <w:rPr>
          <w:rFonts w:ascii="楷体_GB2312" w:eastAsia="楷体_GB2312" w:hAnsi="宋体" w:cs="宋体" w:hint="eastAsia"/>
          <w:kern w:val="0"/>
          <w:szCs w:val="21"/>
        </w:rPr>
        <w:t>本期组合积极型组合</w:t>
      </w:r>
      <w:r w:rsidR="005E24D9">
        <w:rPr>
          <w:rFonts w:ascii="楷体_GB2312" w:eastAsia="楷体_GB2312" w:hAnsi="宋体" w:cs="宋体" w:hint="eastAsia"/>
          <w:kern w:val="0"/>
          <w:szCs w:val="21"/>
        </w:rPr>
        <w:t>和平衡组合有所调整，</w:t>
      </w:r>
      <w:r w:rsidR="005E24D9" w:rsidRPr="003A2393">
        <w:rPr>
          <w:rFonts w:ascii="楷体_GB2312" w:eastAsia="楷体_GB2312" w:hAnsi="宋体" w:cs="宋体" w:hint="eastAsia"/>
          <w:kern w:val="0"/>
          <w:szCs w:val="21"/>
        </w:rPr>
        <w:t>稳定型组合不作调整。</w:t>
      </w:r>
    </w:p>
    <w:p w:rsidR="005E24D9" w:rsidRDefault="005E24D9" w:rsidP="00377D61">
      <w:pPr>
        <w:ind w:firstLine="420"/>
        <w:rPr>
          <w:rFonts w:ascii="楷体_GB2312" w:eastAsia="楷体_GB2312"/>
          <w:noProof/>
        </w:rPr>
      </w:pPr>
    </w:p>
    <w:tbl>
      <w:tblPr>
        <w:tblW w:w="5000" w:type="pct"/>
        <w:jc w:val="center"/>
        <w:tblLook w:val="0000"/>
      </w:tblPr>
      <w:tblGrid>
        <w:gridCol w:w="1611"/>
        <w:gridCol w:w="578"/>
        <w:gridCol w:w="434"/>
        <w:gridCol w:w="1293"/>
        <w:gridCol w:w="581"/>
        <w:gridCol w:w="405"/>
        <w:gridCol w:w="1255"/>
        <w:gridCol w:w="578"/>
      </w:tblGrid>
      <w:tr w:rsidR="000B4882" w:rsidRPr="005B5148" w:rsidTr="00B149DD">
        <w:trPr>
          <w:trHeight w:val="285"/>
          <w:jc w:val="center"/>
        </w:trPr>
        <w:tc>
          <w:tcPr>
            <w:tcW w:w="1625" w:type="pct"/>
            <w:gridSpan w:val="2"/>
            <w:tcBorders>
              <w:top w:val="single" w:sz="4" w:space="0" w:color="auto"/>
              <w:left w:val="single" w:sz="4" w:space="0" w:color="auto"/>
              <w:right w:val="single" w:sz="4" w:space="0" w:color="000000"/>
            </w:tcBorders>
            <w:shd w:val="clear" w:color="auto" w:fill="0000FF"/>
            <w:noWrap/>
            <w:vAlign w:val="bottom"/>
          </w:tcPr>
          <w:p w:rsidR="000B4882" w:rsidRPr="00604445" w:rsidRDefault="000B4882" w:rsidP="004539A3">
            <w:pPr>
              <w:widowControl/>
              <w:jc w:val="center"/>
              <w:rPr>
                <w:rFonts w:ascii="宋体" w:hAnsi="宋体" w:cs="宋体"/>
                <w:b/>
                <w:color w:val="FFFFFF"/>
                <w:kern w:val="0"/>
                <w:sz w:val="18"/>
                <w:szCs w:val="18"/>
              </w:rPr>
            </w:pPr>
            <w:r w:rsidRPr="00604445">
              <w:rPr>
                <w:rFonts w:ascii="宋体" w:hAnsi="宋体" w:cs="宋体" w:hint="eastAsia"/>
                <w:b/>
                <w:color w:val="FFFFFF"/>
                <w:kern w:val="0"/>
                <w:sz w:val="18"/>
                <w:szCs w:val="18"/>
              </w:rPr>
              <w:t>积极型组合</w:t>
            </w:r>
          </w:p>
        </w:tc>
        <w:tc>
          <w:tcPr>
            <w:tcW w:w="32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0B4882" w:rsidRPr="005B5148" w:rsidRDefault="000B4882" w:rsidP="004539A3">
            <w:pPr>
              <w:widowControl/>
              <w:jc w:val="center"/>
              <w:rPr>
                <w:rFonts w:ascii="宋体" w:hAnsi="宋体" w:cs="宋体"/>
                <w:kern w:val="0"/>
                <w:sz w:val="18"/>
                <w:szCs w:val="18"/>
              </w:rPr>
            </w:pPr>
          </w:p>
        </w:tc>
        <w:tc>
          <w:tcPr>
            <w:tcW w:w="1390" w:type="pct"/>
            <w:gridSpan w:val="2"/>
            <w:tcBorders>
              <w:top w:val="single" w:sz="4" w:space="0" w:color="auto"/>
              <w:left w:val="single" w:sz="4" w:space="0" w:color="auto"/>
              <w:right w:val="single" w:sz="4" w:space="0" w:color="000000"/>
            </w:tcBorders>
            <w:shd w:val="clear" w:color="auto" w:fill="0000FF"/>
            <w:noWrap/>
            <w:vAlign w:val="bottom"/>
          </w:tcPr>
          <w:p w:rsidR="000B4882" w:rsidRPr="00604445" w:rsidRDefault="000B4882" w:rsidP="004539A3">
            <w:pPr>
              <w:widowControl/>
              <w:jc w:val="center"/>
              <w:rPr>
                <w:rFonts w:ascii="宋体" w:hAnsi="宋体" w:cs="宋体"/>
                <w:b/>
                <w:color w:val="FFFFFF"/>
                <w:kern w:val="0"/>
                <w:sz w:val="18"/>
                <w:szCs w:val="18"/>
              </w:rPr>
            </w:pPr>
            <w:r w:rsidRPr="00604445">
              <w:rPr>
                <w:rFonts w:ascii="宋体" w:hAnsi="宋体" w:cs="宋体" w:hint="eastAsia"/>
                <w:b/>
                <w:color w:val="FFFFFF"/>
                <w:kern w:val="0"/>
                <w:sz w:val="18"/>
                <w:szCs w:val="18"/>
              </w:rPr>
              <w:t>平衡型组合</w:t>
            </w:r>
          </w:p>
        </w:tc>
        <w:tc>
          <w:tcPr>
            <w:tcW w:w="301" w:type="pct"/>
            <w:vMerge w:val="restart"/>
            <w:tcBorders>
              <w:top w:val="single" w:sz="4" w:space="0" w:color="auto"/>
              <w:left w:val="single" w:sz="4" w:space="0" w:color="000000"/>
              <w:bottom w:val="single" w:sz="4" w:space="0" w:color="000000"/>
              <w:right w:val="single" w:sz="4" w:space="0" w:color="auto"/>
            </w:tcBorders>
            <w:shd w:val="clear" w:color="auto" w:fill="auto"/>
            <w:noWrap/>
            <w:vAlign w:val="bottom"/>
          </w:tcPr>
          <w:p w:rsidR="000B4882" w:rsidRPr="005B5148" w:rsidRDefault="000B4882" w:rsidP="004539A3">
            <w:pPr>
              <w:widowControl/>
              <w:jc w:val="center"/>
              <w:rPr>
                <w:rFonts w:ascii="宋体" w:hAnsi="宋体" w:cs="宋体"/>
                <w:kern w:val="0"/>
                <w:sz w:val="18"/>
                <w:szCs w:val="18"/>
              </w:rPr>
            </w:pPr>
          </w:p>
        </w:tc>
        <w:tc>
          <w:tcPr>
            <w:tcW w:w="1361" w:type="pct"/>
            <w:gridSpan w:val="2"/>
            <w:tcBorders>
              <w:top w:val="single" w:sz="4" w:space="0" w:color="auto"/>
              <w:left w:val="single" w:sz="4" w:space="0" w:color="auto"/>
              <w:right w:val="single" w:sz="4" w:space="0" w:color="000000"/>
            </w:tcBorders>
            <w:shd w:val="clear" w:color="auto" w:fill="0000FF"/>
            <w:noWrap/>
            <w:vAlign w:val="bottom"/>
          </w:tcPr>
          <w:p w:rsidR="000B4882" w:rsidRPr="00604445" w:rsidRDefault="000B4882" w:rsidP="004539A3">
            <w:pPr>
              <w:widowControl/>
              <w:jc w:val="center"/>
              <w:rPr>
                <w:rFonts w:ascii="宋体" w:hAnsi="宋体" w:cs="宋体"/>
                <w:b/>
                <w:color w:val="FFFFFF"/>
                <w:kern w:val="0"/>
                <w:sz w:val="18"/>
                <w:szCs w:val="18"/>
              </w:rPr>
            </w:pPr>
            <w:r w:rsidRPr="00604445">
              <w:rPr>
                <w:rFonts w:ascii="宋体" w:hAnsi="宋体" w:cs="宋体" w:hint="eastAsia"/>
                <w:b/>
                <w:color w:val="FFFFFF"/>
                <w:kern w:val="0"/>
                <w:sz w:val="18"/>
                <w:szCs w:val="18"/>
              </w:rPr>
              <w:t>稳定型组合</w:t>
            </w:r>
          </w:p>
        </w:tc>
      </w:tr>
      <w:tr w:rsidR="000B4882" w:rsidRPr="005B5148" w:rsidTr="00B149DD">
        <w:trPr>
          <w:trHeight w:val="285"/>
          <w:jc w:val="center"/>
        </w:trPr>
        <w:tc>
          <w:tcPr>
            <w:tcW w:w="1196" w:type="pct"/>
            <w:tcBorders>
              <w:top w:val="nil"/>
              <w:bottom w:val="single" w:sz="8" w:space="0" w:color="auto"/>
              <w:right w:val="single" w:sz="8" w:space="0" w:color="auto"/>
            </w:tcBorders>
            <w:shd w:val="clear" w:color="auto" w:fill="D9D9D9"/>
            <w:noWrap/>
            <w:vAlign w:val="bottom"/>
          </w:tcPr>
          <w:p w:rsidR="000B4882" w:rsidRPr="005B5148" w:rsidRDefault="000B4882" w:rsidP="004539A3">
            <w:pPr>
              <w:widowControl/>
              <w:jc w:val="center"/>
              <w:rPr>
                <w:rFonts w:ascii="宋体" w:hAnsi="宋体" w:cs="宋体"/>
                <w:b/>
                <w:kern w:val="0"/>
                <w:sz w:val="18"/>
                <w:szCs w:val="18"/>
              </w:rPr>
            </w:pPr>
            <w:r w:rsidRPr="005B5148">
              <w:rPr>
                <w:rFonts w:ascii="宋体" w:hAnsi="宋体" w:cs="宋体" w:hint="eastAsia"/>
                <w:b/>
                <w:kern w:val="0"/>
                <w:sz w:val="18"/>
                <w:szCs w:val="18"/>
              </w:rPr>
              <w:t>样本基金</w:t>
            </w:r>
          </w:p>
        </w:tc>
        <w:tc>
          <w:tcPr>
            <w:tcW w:w="429" w:type="pct"/>
            <w:tcBorders>
              <w:top w:val="nil"/>
              <w:left w:val="single" w:sz="8" w:space="0" w:color="auto"/>
              <w:bottom w:val="single" w:sz="8" w:space="0" w:color="auto"/>
              <w:right w:val="single" w:sz="8" w:space="0" w:color="auto"/>
            </w:tcBorders>
            <w:shd w:val="clear" w:color="auto" w:fill="D9D9D9"/>
            <w:noWrap/>
            <w:vAlign w:val="bottom"/>
          </w:tcPr>
          <w:p w:rsidR="000B4882" w:rsidRPr="005B5148" w:rsidRDefault="000B4882" w:rsidP="004539A3">
            <w:pPr>
              <w:widowControl/>
              <w:jc w:val="center"/>
              <w:rPr>
                <w:rFonts w:ascii="宋体" w:hAnsi="宋体" w:cs="宋体"/>
                <w:b/>
                <w:kern w:val="0"/>
                <w:sz w:val="18"/>
                <w:szCs w:val="18"/>
              </w:rPr>
            </w:pPr>
            <w:r w:rsidRPr="005B5148">
              <w:rPr>
                <w:rFonts w:ascii="宋体" w:hAnsi="宋体" w:cs="宋体" w:hint="eastAsia"/>
                <w:b/>
                <w:kern w:val="0"/>
                <w:sz w:val="18"/>
                <w:szCs w:val="18"/>
              </w:rPr>
              <w:t>权重</w:t>
            </w:r>
          </w:p>
        </w:tc>
        <w:tc>
          <w:tcPr>
            <w:tcW w:w="323" w:type="pct"/>
            <w:vMerge/>
            <w:tcBorders>
              <w:top w:val="single" w:sz="4" w:space="0" w:color="auto"/>
              <w:left w:val="single" w:sz="8" w:space="0" w:color="auto"/>
              <w:bottom w:val="single" w:sz="4" w:space="0" w:color="000000"/>
            </w:tcBorders>
            <w:vAlign w:val="center"/>
          </w:tcPr>
          <w:p w:rsidR="000B4882" w:rsidRPr="005B5148" w:rsidRDefault="000B4882" w:rsidP="004539A3">
            <w:pPr>
              <w:widowControl/>
              <w:jc w:val="left"/>
              <w:rPr>
                <w:rFonts w:ascii="宋体" w:hAnsi="宋体" w:cs="宋体"/>
                <w:kern w:val="0"/>
                <w:sz w:val="18"/>
                <w:szCs w:val="18"/>
              </w:rPr>
            </w:pPr>
          </w:p>
        </w:tc>
        <w:tc>
          <w:tcPr>
            <w:tcW w:w="960" w:type="pct"/>
            <w:tcBorders>
              <w:bottom w:val="single" w:sz="8" w:space="0" w:color="auto"/>
              <w:right w:val="single" w:sz="8" w:space="0" w:color="auto"/>
            </w:tcBorders>
            <w:shd w:val="clear" w:color="auto" w:fill="D9D9D9"/>
            <w:noWrap/>
            <w:vAlign w:val="bottom"/>
          </w:tcPr>
          <w:p w:rsidR="000B4882" w:rsidRPr="005B5148" w:rsidRDefault="000B4882" w:rsidP="004539A3">
            <w:pPr>
              <w:widowControl/>
              <w:jc w:val="center"/>
              <w:rPr>
                <w:rFonts w:ascii="宋体" w:hAnsi="宋体" w:cs="宋体"/>
                <w:b/>
                <w:kern w:val="0"/>
                <w:sz w:val="18"/>
                <w:szCs w:val="18"/>
              </w:rPr>
            </w:pPr>
            <w:r w:rsidRPr="005B5148">
              <w:rPr>
                <w:rFonts w:ascii="宋体" w:hAnsi="宋体" w:cs="宋体" w:hint="eastAsia"/>
                <w:b/>
                <w:kern w:val="0"/>
                <w:sz w:val="18"/>
                <w:szCs w:val="18"/>
              </w:rPr>
              <w:t>样本基金</w:t>
            </w:r>
          </w:p>
        </w:tc>
        <w:tc>
          <w:tcPr>
            <w:tcW w:w="431" w:type="pct"/>
            <w:tcBorders>
              <w:left w:val="single" w:sz="8" w:space="0" w:color="auto"/>
              <w:bottom w:val="single" w:sz="8" w:space="0" w:color="auto"/>
              <w:right w:val="single" w:sz="8" w:space="0" w:color="auto"/>
            </w:tcBorders>
            <w:shd w:val="clear" w:color="auto" w:fill="D9D9D9"/>
            <w:noWrap/>
            <w:vAlign w:val="bottom"/>
          </w:tcPr>
          <w:p w:rsidR="000B4882" w:rsidRPr="005B5148" w:rsidRDefault="000B4882" w:rsidP="004539A3">
            <w:pPr>
              <w:widowControl/>
              <w:jc w:val="center"/>
              <w:rPr>
                <w:rFonts w:ascii="宋体" w:hAnsi="宋体" w:cs="宋体"/>
                <w:b/>
                <w:kern w:val="0"/>
                <w:sz w:val="18"/>
                <w:szCs w:val="18"/>
              </w:rPr>
            </w:pPr>
            <w:r w:rsidRPr="005B5148">
              <w:rPr>
                <w:rFonts w:ascii="宋体" w:hAnsi="宋体" w:cs="宋体" w:hint="eastAsia"/>
                <w:b/>
                <w:kern w:val="0"/>
                <w:sz w:val="18"/>
                <w:szCs w:val="18"/>
              </w:rPr>
              <w:t>权重</w:t>
            </w:r>
          </w:p>
        </w:tc>
        <w:tc>
          <w:tcPr>
            <w:tcW w:w="301" w:type="pct"/>
            <w:vMerge/>
            <w:tcBorders>
              <w:top w:val="single" w:sz="4" w:space="0" w:color="auto"/>
              <w:left w:val="single" w:sz="8" w:space="0" w:color="auto"/>
              <w:bottom w:val="single" w:sz="4" w:space="0" w:color="000000"/>
            </w:tcBorders>
            <w:vAlign w:val="center"/>
          </w:tcPr>
          <w:p w:rsidR="000B4882" w:rsidRPr="005B5148" w:rsidRDefault="000B4882" w:rsidP="004539A3">
            <w:pPr>
              <w:widowControl/>
              <w:jc w:val="left"/>
              <w:rPr>
                <w:rFonts w:ascii="宋体" w:hAnsi="宋体" w:cs="宋体"/>
                <w:kern w:val="0"/>
                <w:sz w:val="18"/>
                <w:szCs w:val="18"/>
              </w:rPr>
            </w:pPr>
          </w:p>
        </w:tc>
        <w:tc>
          <w:tcPr>
            <w:tcW w:w="932" w:type="pct"/>
            <w:tcBorders>
              <w:bottom w:val="single" w:sz="8" w:space="0" w:color="auto"/>
              <w:right w:val="single" w:sz="8" w:space="0" w:color="auto"/>
            </w:tcBorders>
            <w:shd w:val="clear" w:color="auto" w:fill="D9D9D9"/>
            <w:noWrap/>
            <w:vAlign w:val="bottom"/>
          </w:tcPr>
          <w:p w:rsidR="000B4882" w:rsidRPr="005B5148" w:rsidRDefault="000B4882" w:rsidP="004539A3">
            <w:pPr>
              <w:widowControl/>
              <w:jc w:val="center"/>
              <w:rPr>
                <w:rFonts w:ascii="宋体" w:hAnsi="宋体" w:cs="宋体"/>
                <w:b/>
                <w:kern w:val="0"/>
                <w:sz w:val="18"/>
                <w:szCs w:val="18"/>
              </w:rPr>
            </w:pPr>
            <w:r w:rsidRPr="005B5148">
              <w:rPr>
                <w:rFonts w:ascii="宋体" w:hAnsi="宋体" w:cs="宋体" w:hint="eastAsia"/>
                <w:b/>
                <w:kern w:val="0"/>
                <w:sz w:val="18"/>
                <w:szCs w:val="18"/>
              </w:rPr>
              <w:t>样本基金</w:t>
            </w:r>
          </w:p>
        </w:tc>
        <w:tc>
          <w:tcPr>
            <w:tcW w:w="429" w:type="pct"/>
            <w:tcBorders>
              <w:left w:val="single" w:sz="8" w:space="0" w:color="auto"/>
              <w:bottom w:val="single" w:sz="8" w:space="0" w:color="auto"/>
              <w:right w:val="single" w:sz="8" w:space="0" w:color="auto"/>
            </w:tcBorders>
            <w:shd w:val="clear" w:color="auto" w:fill="D9D9D9"/>
            <w:noWrap/>
            <w:vAlign w:val="bottom"/>
          </w:tcPr>
          <w:p w:rsidR="000B4882" w:rsidRPr="005B5148" w:rsidRDefault="000B4882" w:rsidP="004539A3">
            <w:pPr>
              <w:widowControl/>
              <w:jc w:val="center"/>
              <w:rPr>
                <w:rFonts w:ascii="宋体" w:hAnsi="宋体" w:cs="宋体"/>
                <w:b/>
                <w:kern w:val="0"/>
                <w:sz w:val="18"/>
                <w:szCs w:val="18"/>
              </w:rPr>
            </w:pPr>
            <w:r w:rsidRPr="005B5148">
              <w:rPr>
                <w:rFonts w:ascii="宋体" w:hAnsi="宋体" w:cs="宋体" w:hint="eastAsia"/>
                <w:b/>
                <w:kern w:val="0"/>
                <w:sz w:val="18"/>
                <w:szCs w:val="18"/>
              </w:rPr>
              <w:t>权重</w:t>
            </w:r>
          </w:p>
        </w:tc>
      </w:tr>
      <w:tr w:rsidR="00B149DD" w:rsidRPr="005B5148" w:rsidTr="00B149DD">
        <w:trPr>
          <w:trHeight w:val="285"/>
          <w:jc w:val="center"/>
        </w:trPr>
        <w:tc>
          <w:tcPr>
            <w:tcW w:w="1196" w:type="pct"/>
            <w:tcBorders>
              <w:top w:val="single" w:sz="8" w:space="0" w:color="auto"/>
              <w:left w:val="single" w:sz="4" w:space="0" w:color="auto"/>
              <w:bottom w:val="single" w:sz="4" w:space="0" w:color="auto"/>
              <w:right w:val="single" w:sz="4" w:space="0" w:color="auto"/>
            </w:tcBorders>
            <w:shd w:val="clear" w:color="auto" w:fill="auto"/>
            <w:noWrap/>
            <w:vAlign w:val="bottom"/>
          </w:tcPr>
          <w:p w:rsidR="00B149DD" w:rsidRPr="005B5148" w:rsidRDefault="00B149DD" w:rsidP="004539A3">
            <w:pPr>
              <w:widowControl/>
              <w:jc w:val="center"/>
              <w:rPr>
                <w:rFonts w:ascii="宋体" w:hAnsi="宋体" w:cs="宋体"/>
                <w:kern w:val="0"/>
                <w:sz w:val="18"/>
                <w:szCs w:val="18"/>
              </w:rPr>
            </w:pPr>
            <w:r>
              <w:rPr>
                <w:rFonts w:ascii="宋体" w:hAnsi="宋体" w:cs="宋体" w:hint="eastAsia"/>
                <w:kern w:val="0"/>
                <w:sz w:val="18"/>
                <w:szCs w:val="18"/>
              </w:rPr>
              <w:t>银河成长</w:t>
            </w:r>
          </w:p>
        </w:tc>
        <w:tc>
          <w:tcPr>
            <w:tcW w:w="429" w:type="pct"/>
            <w:tcBorders>
              <w:top w:val="single" w:sz="8" w:space="0" w:color="auto"/>
              <w:left w:val="nil"/>
              <w:bottom w:val="single" w:sz="4" w:space="0" w:color="auto"/>
              <w:right w:val="single" w:sz="4" w:space="0" w:color="auto"/>
            </w:tcBorders>
            <w:shd w:val="clear" w:color="auto" w:fill="auto"/>
            <w:noWrap/>
            <w:vAlign w:val="bottom"/>
          </w:tcPr>
          <w:p w:rsidR="00B149DD" w:rsidRPr="005B5148" w:rsidRDefault="00B149DD" w:rsidP="004539A3">
            <w:pPr>
              <w:widowControl/>
              <w:jc w:val="center"/>
              <w:rPr>
                <w:rFonts w:ascii="宋体" w:hAnsi="宋体" w:cs="宋体"/>
                <w:kern w:val="0"/>
                <w:sz w:val="18"/>
                <w:szCs w:val="18"/>
              </w:rPr>
            </w:pPr>
            <w:r>
              <w:rPr>
                <w:rFonts w:ascii="宋体" w:hAnsi="宋体" w:cs="宋体" w:hint="eastAsia"/>
                <w:kern w:val="0"/>
                <w:sz w:val="18"/>
                <w:szCs w:val="18"/>
              </w:rPr>
              <w:t>3</w:t>
            </w:r>
            <w:r w:rsidRPr="005B5148">
              <w:rPr>
                <w:rFonts w:ascii="宋体" w:hAnsi="宋体" w:cs="宋体" w:hint="eastAsia"/>
                <w:kern w:val="0"/>
                <w:sz w:val="18"/>
                <w:szCs w:val="18"/>
              </w:rPr>
              <w:t>0%</w:t>
            </w:r>
          </w:p>
        </w:tc>
        <w:tc>
          <w:tcPr>
            <w:tcW w:w="323" w:type="pct"/>
            <w:vMerge/>
            <w:tcBorders>
              <w:top w:val="single" w:sz="8" w:space="0" w:color="auto"/>
              <w:left w:val="single" w:sz="4" w:space="0" w:color="auto"/>
              <w:bottom w:val="single" w:sz="4" w:space="0" w:color="000000"/>
              <w:right w:val="single" w:sz="4" w:space="0" w:color="auto"/>
            </w:tcBorders>
            <w:vAlign w:val="center"/>
          </w:tcPr>
          <w:p w:rsidR="00B149DD" w:rsidRPr="005B5148" w:rsidRDefault="00B149DD" w:rsidP="004539A3">
            <w:pPr>
              <w:widowControl/>
              <w:jc w:val="left"/>
              <w:rPr>
                <w:rFonts w:ascii="宋体" w:hAnsi="宋体" w:cs="宋体"/>
                <w:kern w:val="0"/>
                <w:sz w:val="18"/>
                <w:szCs w:val="18"/>
              </w:rPr>
            </w:pPr>
          </w:p>
        </w:tc>
        <w:tc>
          <w:tcPr>
            <w:tcW w:w="960" w:type="pct"/>
            <w:tcBorders>
              <w:top w:val="single" w:sz="8" w:space="0" w:color="auto"/>
              <w:left w:val="nil"/>
              <w:bottom w:val="single" w:sz="4" w:space="0" w:color="auto"/>
              <w:right w:val="single" w:sz="4" w:space="0" w:color="auto"/>
            </w:tcBorders>
            <w:shd w:val="clear" w:color="auto" w:fill="auto"/>
            <w:noWrap/>
            <w:vAlign w:val="bottom"/>
          </w:tcPr>
          <w:p w:rsidR="00B149DD" w:rsidRPr="005B5148" w:rsidRDefault="00B149DD" w:rsidP="00E172EF">
            <w:pPr>
              <w:widowControl/>
              <w:jc w:val="center"/>
              <w:rPr>
                <w:rFonts w:ascii="宋体" w:hAnsi="宋体" w:cs="宋体"/>
                <w:kern w:val="0"/>
                <w:sz w:val="18"/>
                <w:szCs w:val="18"/>
              </w:rPr>
            </w:pPr>
            <w:r w:rsidRPr="003C100F">
              <w:rPr>
                <w:rFonts w:ascii="宋体" w:hAnsi="宋体" w:cs="宋体" w:hint="eastAsia"/>
                <w:kern w:val="0"/>
                <w:sz w:val="18"/>
                <w:szCs w:val="18"/>
              </w:rPr>
              <w:t>博时标普500</w:t>
            </w:r>
          </w:p>
        </w:tc>
        <w:tc>
          <w:tcPr>
            <w:tcW w:w="431" w:type="pct"/>
            <w:tcBorders>
              <w:top w:val="single" w:sz="8" w:space="0" w:color="auto"/>
              <w:left w:val="nil"/>
              <w:bottom w:val="single" w:sz="4" w:space="0" w:color="auto"/>
              <w:right w:val="single" w:sz="4" w:space="0" w:color="auto"/>
            </w:tcBorders>
            <w:shd w:val="clear" w:color="auto" w:fill="auto"/>
            <w:noWrap/>
            <w:vAlign w:val="bottom"/>
          </w:tcPr>
          <w:p w:rsidR="00B149DD" w:rsidRPr="005B5148" w:rsidRDefault="00B149DD" w:rsidP="004539A3">
            <w:pPr>
              <w:widowControl/>
              <w:jc w:val="center"/>
              <w:rPr>
                <w:rFonts w:ascii="宋体" w:hAnsi="宋体" w:cs="宋体"/>
                <w:kern w:val="0"/>
                <w:sz w:val="18"/>
                <w:szCs w:val="18"/>
              </w:rPr>
            </w:pPr>
            <w:r w:rsidRPr="005B5148">
              <w:rPr>
                <w:rFonts w:ascii="宋体" w:hAnsi="宋体" w:cs="宋体" w:hint="eastAsia"/>
                <w:kern w:val="0"/>
                <w:sz w:val="18"/>
                <w:szCs w:val="18"/>
              </w:rPr>
              <w:t>25%</w:t>
            </w:r>
          </w:p>
        </w:tc>
        <w:tc>
          <w:tcPr>
            <w:tcW w:w="301" w:type="pct"/>
            <w:vMerge/>
            <w:tcBorders>
              <w:top w:val="single" w:sz="8" w:space="0" w:color="auto"/>
              <w:left w:val="single" w:sz="4" w:space="0" w:color="auto"/>
              <w:bottom w:val="single" w:sz="4" w:space="0" w:color="000000"/>
              <w:right w:val="single" w:sz="4" w:space="0" w:color="auto"/>
            </w:tcBorders>
            <w:vAlign w:val="center"/>
          </w:tcPr>
          <w:p w:rsidR="00B149DD" w:rsidRPr="005B5148" w:rsidRDefault="00B149DD" w:rsidP="004539A3">
            <w:pPr>
              <w:widowControl/>
              <w:jc w:val="left"/>
              <w:rPr>
                <w:rFonts w:ascii="宋体" w:hAnsi="宋体" w:cs="宋体"/>
                <w:kern w:val="0"/>
                <w:sz w:val="18"/>
                <w:szCs w:val="18"/>
              </w:rPr>
            </w:pPr>
          </w:p>
        </w:tc>
        <w:tc>
          <w:tcPr>
            <w:tcW w:w="932" w:type="pct"/>
            <w:tcBorders>
              <w:top w:val="single" w:sz="8" w:space="0" w:color="auto"/>
              <w:left w:val="nil"/>
              <w:bottom w:val="single" w:sz="4" w:space="0" w:color="auto"/>
              <w:right w:val="single" w:sz="4" w:space="0" w:color="auto"/>
            </w:tcBorders>
            <w:shd w:val="clear" w:color="auto" w:fill="auto"/>
            <w:noWrap/>
            <w:vAlign w:val="bottom"/>
          </w:tcPr>
          <w:p w:rsidR="00B149DD" w:rsidRPr="005B5148" w:rsidRDefault="00B149DD" w:rsidP="00F84017">
            <w:pPr>
              <w:widowControl/>
              <w:jc w:val="center"/>
              <w:rPr>
                <w:rFonts w:ascii="宋体" w:hAnsi="宋体" w:cs="宋体"/>
                <w:kern w:val="0"/>
                <w:sz w:val="18"/>
                <w:szCs w:val="18"/>
              </w:rPr>
            </w:pPr>
            <w:r>
              <w:rPr>
                <w:rFonts w:ascii="宋体" w:hAnsi="宋体" w:cs="宋体" w:hint="eastAsia"/>
                <w:kern w:val="0"/>
                <w:sz w:val="18"/>
                <w:szCs w:val="18"/>
              </w:rPr>
              <w:t>建信货币</w:t>
            </w:r>
          </w:p>
        </w:tc>
        <w:tc>
          <w:tcPr>
            <w:tcW w:w="429" w:type="pct"/>
            <w:tcBorders>
              <w:top w:val="single" w:sz="8" w:space="0" w:color="auto"/>
              <w:left w:val="nil"/>
              <w:bottom w:val="single" w:sz="4" w:space="0" w:color="auto"/>
              <w:right w:val="single" w:sz="4" w:space="0" w:color="auto"/>
            </w:tcBorders>
            <w:shd w:val="clear" w:color="auto" w:fill="auto"/>
            <w:noWrap/>
            <w:vAlign w:val="bottom"/>
          </w:tcPr>
          <w:p w:rsidR="00B149DD" w:rsidRPr="005B5148" w:rsidRDefault="00B149DD" w:rsidP="004539A3">
            <w:pPr>
              <w:widowControl/>
              <w:jc w:val="center"/>
              <w:rPr>
                <w:rFonts w:ascii="宋体" w:hAnsi="宋体" w:cs="宋体"/>
                <w:kern w:val="0"/>
                <w:sz w:val="18"/>
                <w:szCs w:val="18"/>
              </w:rPr>
            </w:pPr>
            <w:r>
              <w:rPr>
                <w:rFonts w:ascii="宋体" w:hAnsi="宋体" w:cs="宋体" w:hint="eastAsia"/>
                <w:kern w:val="0"/>
                <w:sz w:val="18"/>
                <w:szCs w:val="18"/>
              </w:rPr>
              <w:t>30</w:t>
            </w:r>
            <w:r w:rsidRPr="005B5148">
              <w:rPr>
                <w:rFonts w:ascii="宋体" w:hAnsi="宋体" w:cs="宋体" w:hint="eastAsia"/>
                <w:kern w:val="0"/>
                <w:sz w:val="18"/>
                <w:szCs w:val="18"/>
              </w:rPr>
              <w:t>%</w:t>
            </w:r>
          </w:p>
        </w:tc>
      </w:tr>
      <w:tr w:rsidR="007A2D23" w:rsidRPr="005B5148" w:rsidTr="00B149DD">
        <w:trPr>
          <w:trHeight w:val="285"/>
          <w:jc w:val="center"/>
        </w:trPr>
        <w:tc>
          <w:tcPr>
            <w:tcW w:w="1196" w:type="pct"/>
            <w:tcBorders>
              <w:top w:val="nil"/>
              <w:left w:val="single" w:sz="4" w:space="0" w:color="auto"/>
              <w:bottom w:val="single" w:sz="4" w:space="0" w:color="auto"/>
              <w:right w:val="single" w:sz="4" w:space="0" w:color="auto"/>
            </w:tcBorders>
            <w:shd w:val="clear" w:color="auto" w:fill="auto"/>
            <w:noWrap/>
            <w:vAlign w:val="bottom"/>
          </w:tcPr>
          <w:p w:rsidR="007A2D23" w:rsidRPr="00CA345B" w:rsidRDefault="007A2D23" w:rsidP="004F3B1D">
            <w:pPr>
              <w:jc w:val="center"/>
              <w:rPr>
                <w:rFonts w:ascii="宋体" w:hAnsi="宋体" w:cs="宋体"/>
                <w:sz w:val="18"/>
                <w:szCs w:val="18"/>
              </w:rPr>
            </w:pPr>
            <w:r w:rsidRPr="00375D93">
              <w:rPr>
                <w:rFonts w:hint="eastAsia"/>
                <w:sz w:val="18"/>
                <w:szCs w:val="18"/>
              </w:rPr>
              <w:t>添富价值</w:t>
            </w:r>
          </w:p>
        </w:tc>
        <w:tc>
          <w:tcPr>
            <w:tcW w:w="429" w:type="pct"/>
            <w:tcBorders>
              <w:top w:val="nil"/>
              <w:left w:val="nil"/>
              <w:bottom w:val="single" w:sz="4" w:space="0" w:color="auto"/>
              <w:right w:val="single" w:sz="4" w:space="0" w:color="auto"/>
            </w:tcBorders>
            <w:shd w:val="clear" w:color="auto" w:fill="auto"/>
            <w:noWrap/>
            <w:vAlign w:val="bottom"/>
          </w:tcPr>
          <w:p w:rsidR="007A2D23" w:rsidRPr="005B5148" w:rsidRDefault="00FB7190" w:rsidP="004539A3">
            <w:pPr>
              <w:widowControl/>
              <w:jc w:val="center"/>
              <w:rPr>
                <w:rFonts w:ascii="宋体" w:hAnsi="宋体" w:cs="宋体"/>
                <w:kern w:val="0"/>
                <w:sz w:val="18"/>
                <w:szCs w:val="18"/>
              </w:rPr>
            </w:pPr>
            <w:r>
              <w:rPr>
                <w:rFonts w:ascii="宋体" w:hAnsi="宋体" w:cs="宋体" w:hint="eastAsia"/>
                <w:kern w:val="0"/>
                <w:sz w:val="18"/>
                <w:szCs w:val="18"/>
              </w:rPr>
              <w:t>4</w:t>
            </w:r>
            <w:r w:rsidR="007A2D23">
              <w:rPr>
                <w:rFonts w:ascii="宋体" w:hAnsi="宋体" w:cs="宋体" w:hint="eastAsia"/>
                <w:kern w:val="0"/>
                <w:sz w:val="18"/>
                <w:szCs w:val="18"/>
              </w:rPr>
              <w:t>0</w:t>
            </w:r>
            <w:r w:rsidR="007A2D23" w:rsidRPr="005B5148">
              <w:rPr>
                <w:rFonts w:ascii="宋体" w:hAnsi="宋体" w:cs="宋体" w:hint="eastAsia"/>
                <w:kern w:val="0"/>
                <w:sz w:val="18"/>
                <w:szCs w:val="18"/>
              </w:rPr>
              <w:t>%</w:t>
            </w:r>
          </w:p>
        </w:tc>
        <w:tc>
          <w:tcPr>
            <w:tcW w:w="323" w:type="pct"/>
            <w:vMerge/>
            <w:tcBorders>
              <w:top w:val="single" w:sz="4" w:space="0" w:color="auto"/>
              <w:left w:val="single" w:sz="4" w:space="0" w:color="auto"/>
              <w:bottom w:val="single" w:sz="4" w:space="0" w:color="000000"/>
              <w:right w:val="single" w:sz="4" w:space="0" w:color="auto"/>
            </w:tcBorders>
            <w:vAlign w:val="center"/>
          </w:tcPr>
          <w:p w:rsidR="007A2D23" w:rsidRPr="005B5148" w:rsidRDefault="007A2D23" w:rsidP="004539A3">
            <w:pPr>
              <w:widowControl/>
              <w:jc w:val="left"/>
              <w:rPr>
                <w:rFonts w:ascii="宋体" w:hAnsi="宋体" w:cs="宋体"/>
                <w:kern w:val="0"/>
                <w:sz w:val="18"/>
                <w:szCs w:val="18"/>
              </w:rPr>
            </w:pPr>
          </w:p>
        </w:tc>
        <w:tc>
          <w:tcPr>
            <w:tcW w:w="960" w:type="pct"/>
            <w:tcBorders>
              <w:top w:val="nil"/>
              <w:left w:val="nil"/>
              <w:bottom w:val="single" w:sz="4" w:space="0" w:color="auto"/>
              <w:right w:val="single" w:sz="4" w:space="0" w:color="auto"/>
            </w:tcBorders>
            <w:shd w:val="clear" w:color="auto" w:fill="auto"/>
            <w:noWrap/>
            <w:vAlign w:val="bottom"/>
          </w:tcPr>
          <w:p w:rsidR="007A2D23" w:rsidRPr="005B5148" w:rsidRDefault="007A2D23" w:rsidP="00AC088F">
            <w:pPr>
              <w:widowControl/>
              <w:jc w:val="center"/>
              <w:rPr>
                <w:rFonts w:ascii="宋体" w:hAnsi="宋体" w:cs="宋体"/>
                <w:kern w:val="0"/>
                <w:sz w:val="18"/>
                <w:szCs w:val="18"/>
              </w:rPr>
            </w:pPr>
            <w:r w:rsidRPr="0037683F">
              <w:rPr>
                <w:rFonts w:ascii="宋体" w:hAnsi="宋体" w:cs="宋体" w:hint="eastAsia"/>
                <w:kern w:val="0"/>
                <w:sz w:val="18"/>
                <w:szCs w:val="18"/>
              </w:rPr>
              <w:t>添富价值</w:t>
            </w:r>
          </w:p>
        </w:tc>
        <w:tc>
          <w:tcPr>
            <w:tcW w:w="431" w:type="pct"/>
            <w:tcBorders>
              <w:top w:val="nil"/>
              <w:left w:val="nil"/>
              <w:bottom w:val="single" w:sz="4" w:space="0" w:color="auto"/>
              <w:right w:val="single" w:sz="4" w:space="0" w:color="auto"/>
            </w:tcBorders>
            <w:shd w:val="clear" w:color="auto" w:fill="auto"/>
            <w:noWrap/>
            <w:vAlign w:val="bottom"/>
          </w:tcPr>
          <w:p w:rsidR="007A2D23" w:rsidRPr="005B5148" w:rsidRDefault="007A2D23" w:rsidP="004539A3">
            <w:pPr>
              <w:widowControl/>
              <w:jc w:val="center"/>
              <w:rPr>
                <w:rFonts w:ascii="宋体" w:hAnsi="宋体" w:cs="宋体"/>
                <w:kern w:val="0"/>
                <w:sz w:val="18"/>
                <w:szCs w:val="18"/>
              </w:rPr>
            </w:pPr>
            <w:r w:rsidRPr="005B5148">
              <w:rPr>
                <w:rFonts w:ascii="宋体" w:hAnsi="宋体" w:cs="宋体" w:hint="eastAsia"/>
                <w:kern w:val="0"/>
                <w:sz w:val="18"/>
                <w:szCs w:val="18"/>
              </w:rPr>
              <w:t>25%</w:t>
            </w:r>
          </w:p>
        </w:tc>
        <w:tc>
          <w:tcPr>
            <w:tcW w:w="301" w:type="pct"/>
            <w:vMerge/>
            <w:tcBorders>
              <w:top w:val="single" w:sz="4" w:space="0" w:color="auto"/>
              <w:left w:val="single" w:sz="4" w:space="0" w:color="auto"/>
              <w:bottom w:val="single" w:sz="4" w:space="0" w:color="000000"/>
              <w:right w:val="single" w:sz="4" w:space="0" w:color="auto"/>
            </w:tcBorders>
            <w:vAlign w:val="center"/>
          </w:tcPr>
          <w:p w:rsidR="007A2D23" w:rsidRPr="005B5148" w:rsidRDefault="007A2D23" w:rsidP="004539A3">
            <w:pPr>
              <w:widowControl/>
              <w:jc w:val="left"/>
              <w:rPr>
                <w:rFonts w:ascii="宋体" w:hAnsi="宋体" w:cs="宋体"/>
                <w:kern w:val="0"/>
                <w:sz w:val="18"/>
                <w:szCs w:val="18"/>
              </w:rPr>
            </w:pPr>
          </w:p>
        </w:tc>
        <w:tc>
          <w:tcPr>
            <w:tcW w:w="932" w:type="pct"/>
            <w:tcBorders>
              <w:top w:val="nil"/>
              <w:left w:val="nil"/>
              <w:bottom w:val="single" w:sz="4" w:space="0" w:color="auto"/>
              <w:right w:val="single" w:sz="4" w:space="0" w:color="auto"/>
            </w:tcBorders>
            <w:shd w:val="clear" w:color="auto" w:fill="auto"/>
            <w:noWrap/>
            <w:vAlign w:val="bottom"/>
          </w:tcPr>
          <w:p w:rsidR="007A2D23" w:rsidRPr="005B5148" w:rsidRDefault="007A2D23" w:rsidP="004539A3">
            <w:pPr>
              <w:widowControl/>
              <w:jc w:val="center"/>
              <w:rPr>
                <w:rFonts w:ascii="宋体" w:hAnsi="宋体" w:cs="宋体"/>
                <w:kern w:val="0"/>
                <w:sz w:val="18"/>
                <w:szCs w:val="18"/>
              </w:rPr>
            </w:pPr>
            <w:r>
              <w:rPr>
                <w:rFonts w:ascii="宋体" w:hAnsi="宋体" w:cs="宋体" w:hint="eastAsia"/>
                <w:kern w:val="0"/>
                <w:sz w:val="18"/>
                <w:szCs w:val="18"/>
              </w:rPr>
              <w:t>华夏现金</w:t>
            </w:r>
          </w:p>
        </w:tc>
        <w:tc>
          <w:tcPr>
            <w:tcW w:w="429" w:type="pct"/>
            <w:tcBorders>
              <w:top w:val="nil"/>
              <w:left w:val="nil"/>
              <w:bottom w:val="single" w:sz="4" w:space="0" w:color="auto"/>
              <w:right w:val="single" w:sz="4" w:space="0" w:color="auto"/>
            </w:tcBorders>
            <w:shd w:val="clear" w:color="auto" w:fill="auto"/>
            <w:noWrap/>
            <w:vAlign w:val="bottom"/>
          </w:tcPr>
          <w:p w:rsidR="007A2D23" w:rsidRPr="005B5148" w:rsidRDefault="007A2D23" w:rsidP="004539A3">
            <w:pPr>
              <w:widowControl/>
              <w:jc w:val="center"/>
              <w:rPr>
                <w:rFonts w:ascii="宋体" w:hAnsi="宋体" w:cs="宋体"/>
                <w:kern w:val="0"/>
                <w:sz w:val="18"/>
                <w:szCs w:val="18"/>
              </w:rPr>
            </w:pPr>
            <w:r w:rsidRPr="005B5148">
              <w:rPr>
                <w:rFonts w:ascii="宋体" w:hAnsi="宋体" w:cs="宋体" w:hint="eastAsia"/>
                <w:kern w:val="0"/>
                <w:sz w:val="18"/>
                <w:szCs w:val="18"/>
              </w:rPr>
              <w:t>35%</w:t>
            </w:r>
          </w:p>
        </w:tc>
      </w:tr>
      <w:tr w:rsidR="00B149DD" w:rsidRPr="005B5148" w:rsidTr="00B149DD">
        <w:trPr>
          <w:trHeight w:val="285"/>
          <w:jc w:val="center"/>
        </w:trPr>
        <w:tc>
          <w:tcPr>
            <w:tcW w:w="1196" w:type="pct"/>
            <w:tcBorders>
              <w:top w:val="nil"/>
              <w:left w:val="single" w:sz="4" w:space="0" w:color="auto"/>
              <w:bottom w:val="single" w:sz="4" w:space="0" w:color="auto"/>
              <w:right w:val="single" w:sz="4" w:space="0" w:color="auto"/>
            </w:tcBorders>
            <w:shd w:val="clear" w:color="auto" w:fill="auto"/>
            <w:noWrap/>
            <w:vAlign w:val="bottom"/>
          </w:tcPr>
          <w:p w:rsidR="00B149DD" w:rsidRPr="005B5148" w:rsidRDefault="00B149DD" w:rsidP="00E172EF">
            <w:pPr>
              <w:jc w:val="center"/>
              <w:rPr>
                <w:rFonts w:ascii="宋体" w:hAnsi="宋体" w:cs="宋体"/>
                <w:kern w:val="0"/>
                <w:sz w:val="18"/>
                <w:szCs w:val="18"/>
              </w:rPr>
            </w:pPr>
            <w:r>
              <w:rPr>
                <w:rFonts w:hint="eastAsia"/>
                <w:sz w:val="18"/>
                <w:szCs w:val="18"/>
              </w:rPr>
              <w:t>国泰纳斯达克</w:t>
            </w:r>
            <w:r>
              <w:rPr>
                <w:rFonts w:hint="eastAsia"/>
                <w:sz w:val="18"/>
                <w:szCs w:val="18"/>
              </w:rPr>
              <w:t>100</w:t>
            </w:r>
          </w:p>
        </w:tc>
        <w:tc>
          <w:tcPr>
            <w:tcW w:w="429" w:type="pct"/>
            <w:tcBorders>
              <w:top w:val="nil"/>
              <w:left w:val="nil"/>
              <w:bottom w:val="single" w:sz="4" w:space="0" w:color="auto"/>
              <w:right w:val="single" w:sz="4" w:space="0" w:color="auto"/>
            </w:tcBorders>
            <w:shd w:val="clear" w:color="auto" w:fill="auto"/>
            <w:noWrap/>
            <w:vAlign w:val="bottom"/>
          </w:tcPr>
          <w:p w:rsidR="00B149DD" w:rsidRPr="005B5148" w:rsidRDefault="00B149DD" w:rsidP="004539A3">
            <w:pPr>
              <w:widowControl/>
              <w:jc w:val="center"/>
              <w:rPr>
                <w:rFonts w:ascii="宋体" w:hAnsi="宋体" w:cs="宋体"/>
                <w:kern w:val="0"/>
                <w:sz w:val="18"/>
                <w:szCs w:val="18"/>
              </w:rPr>
            </w:pPr>
            <w:r>
              <w:rPr>
                <w:rFonts w:ascii="宋体" w:hAnsi="宋体" w:cs="宋体" w:hint="eastAsia"/>
                <w:kern w:val="0"/>
                <w:sz w:val="18"/>
                <w:szCs w:val="18"/>
              </w:rPr>
              <w:t>30</w:t>
            </w:r>
            <w:r w:rsidRPr="005B5148">
              <w:rPr>
                <w:rFonts w:ascii="宋体" w:hAnsi="宋体" w:cs="宋体" w:hint="eastAsia"/>
                <w:kern w:val="0"/>
                <w:sz w:val="18"/>
                <w:szCs w:val="18"/>
              </w:rPr>
              <w:t>%</w:t>
            </w:r>
          </w:p>
        </w:tc>
        <w:tc>
          <w:tcPr>
            <w:tcW w:w="323" w:type="pct"/>
            <w:vMerge/>
            <w:tcBorders>
              <w:top w:val="single" w:sz="4" w:space="0" w:color="auto"/>
              <w:left w:val="single" w:sz="4" w:space="0" w:color="auto"/>
              <w:bottom w:val="single" w:sz="4" w:space="0" w:color="000000"/>
              <w:right w:val="single" w:sz="4" w:space="0" w:color="auto"/>
            </w:tcBorders>
            <w:vAlign w:val="center"/>
          </w:tcPr>
          <w:p w:rsidR="00B149DD" w:rsidRPr="005B5148" w:rsidRDefault="00B149DD" w:rsidP="004539A3">
            <w:pPr>
              <w:widowControl/>
              <w:jc w:val="left"/>
              <w:rPr>
                <w:rFonts w:ascii="宋体" w:hAnsi="宋体" w:cs="宋体"/>
                <w:kern w:val="0"/>
                <w:sz w:val="18"/>
                <w:szCs w:val="18"/>
              </w:rPr>
            </w:pPr>
          </w:p>
        </w:tc>
        <w:tc>
          <w:tcPr>
            <w:tcW w:w="960" w:type="pct"/>
            <w:tcBorders>
              <w:top w:val="nil"/>
              <w:left w:val="nil"/>
              <w:bottom w:val="single" w:sz="4" w:space="0" w:color="auto"/>
              <w:right w:val="single" w:sz="4" w:space="0" w:color="auto"/>
            </w:tcBorders>
            <w:shd w:val="clear" w:color="auto" w:fill="auto"/>
            <w:noWrap/>
            <w:vAlign w:val="bottom"/>
          </w:tcPr>
          <w:p w:rsidR="00B149DD" w:rsidRPr="005B5148" w:rsidRDefault="00B149DD" w:rsidP="00F84017">
            <w:pPr>
              <w:widowControl/>
              <w:jc w:val="center"/>
              <w:rPr>
                <w:rFonts w:ascii="宋体" w:hAnsi="宋体" w:cs="宋体"/>
                <w:kern w:val="0"/>
                <w:sz w:val="18"/>
                <w:szCs w:val="18"/>
              </w:rPr>
            </w:pPr>
            <w:r>
              <w:rPr>
                <w:rFonts w:ascii="宋体" w:hAnsi="宋体" w:cs="宋体" w:hint="eastAsia"/>
                <w:kern w:val="0"/>
                <w:sz w:val="18"/>
                <w:szCs w:val="18"/>
              </w:rPr>
              <w:t>天弘永利B</w:t>
            </w:r>
          </w:p>
        </w:tc>
        <w:tc>
          <w:tcPr>
            <w:tcW w:w="431" w:type="pct"/>
            <w:tcBorders>
              <w:top w:val="nil"/>
              <w:left w:val="nil"/>
              <w:bottom w:val="single" w:sz="4" w:space="0" w:color="auto"/>
              <w:right w:val="single" w:sz="4" w:space="0" w:color="auto"/>
            </w:tcBorders>
            <w:shd w:val="clear" w:color="auto" w:fill="auto"/>
            <w:noWrap/>
            <w:vAlign w:val="bottom"/>
          </w:tcPr>
          <w:p w:rsidR="00B149DD" w:rsidRPr="005B5148" w:rsidRDefault="00B149DD" w:rsidP="004539A3">
            <w:pPr>
              <w:widowControl/>
              <w:jc w:val="center"/>
              <w:rPr>
                <w:rFonts w:ascii="宋体" w:hAnsi="宋体" w:cs="宋体"/>
                <w:kern w:val="0"/>
                <w:sz w:val="18"/>
                <w:szCs w:val="18"/>
              </w:rPr>
            </w:pPr>
            <w:r>
              <w:rPr>
                <w:rFonts w:ascii="宋体" w:hAnsi="宋体" w:cs="宋体" w:hint="eastAsia"/>
                <w:kern w:val="0"/>
                <w:sz w:val="18"/>
                <w:szCs w:val="18"/>
              </w:rPr>
              <w:t>5</w:t>
            </w:r>
            <w:r w:rsidRPr="005B5148">
              <w:rPr>
                <w:rFonts w:ascii="宋体" w:hAnsi="宋体" w:cs="宋体" w:hint="eastAsia"/>
                <w:kern w:val="0"/>
                <w:sz w:val="18"/>
                <w:szCs w:val="18"/>
              </w:rPr>
              <w:t>0%</w:t>
            </w:r>
          </w:p>
        </w:tc>
        <w:tc>
          <w:tcPr>
            <w:tcW w:w="301" w:type="pct"/>
            <w:vMerge/>
            <w:tcBorders>
              <w:top w:val="single" w:sz="4" w:space="0" w:color="auto"/>
              <w:left w:val="single" w:sz="4" w:space="0" w:color="auto"/>
              <w:bottom w:val="single" w:sz="4" w:space="0" w:color="000000"/>
              <w:right w:val="single" w:sz="4" w:space="0" w:color="auto"/>
            </w:tcBorders>
            <w:vAlign w:val="center"/>
          </w:tcPr>
          <w:p w:rsidR="00B149DD" w:rsidRPr="005B5148" w:rsidRDefault="00B149DD" w:rsidP="004539A3">
            <w:pPr>
              <w:widowControl/>
              <w:jc w:val="left"/>
              <w:rPr>
                <w:rFonts w:ascii="宋体" w:hAnsi="宋体" w:cs="宋体"/>
                <w:kern w:val="0"/>
                <w:sz w:val="18"/>
                <w:szCs w:val="18"/>
              </w:rPr>
            </w:pPr>
          </w:p>
        </w:tc>
        <w:tc>
          <w:tcPr>
            <w:tcW w:w="932" w:type="pct"/>
            <w:tcBorders>
              <w:top w:val="nil"/>
              <w:left w:val="nil"/>
              <w:bottom w:val="single" w:sz="4" w:space="0" w:color="auto"/>
              <w:right w:val="single" w:sz="4" w:space="0" w:color="auto"/>
            </w:tcBorders>
            <w:shd w:val="clear" w:color="auto" w:fill="auto"/>
            <w:noWrap/>
            <w:vAlign w:val="bottom"/>
          </w:tcPr>
          <w:p w:rsidR="00B149DD" w:rsidRPr="0017543C" w:rsidRDefault="00B149DD" w:rsidP="004539A3">
            <w:pPr>
              <w:widowControl/>
              <w:jc w:val="center"/>
              <w:rPr>
                <w:rFonts w:ascii="宋体" w:hAnsi="宋体" w:cs="宋体"/>
                <w:kern w:val="0"/>
                <w:sz w:val="18"/>
                <w:szCs w:val="18"/>
              </w:rPr>
            </w:pPr>
            <w:r w:rsidRPr="0017543C">
              <w:rPr>
                <w:rFonts w:ascii="宋体" w:hAnsi="宋体" w:cs="宋体" w:hint="eastAsia"/>
                <w:kern w:val="0"/>
                <w:sz w:val="18"/>
                <w:szCs w:val="18"/>
              </w:rPr>
              <w:t>广发货币B</w:t>
            </w:r>
          </w:p>
        </w:tc>
        <w:tc>
          <w:tcPr>
            <w:tcW w:w="429" w:type="pct"/>
            <w:tcBorders>
              <w:top w:val="nil"/>
              <w:left w:val="nil"/>
              <w:bottom w:val="single" w:sz="4" w:space="0" w:color="auto"/>
              <w:right w:val="single" w:sz="4" w:space="0" w:color="auto"/>
            </w:tcBorders>
            <w:shd w:val="clear" w:color="auto" w:fill="auto"/>
            <w:noWrap/>
            <w:vAlign w:val="bottom"/>
          </w:tcPr>
          <w:p w:rsidR="00B149DD" w:rsidRPr="005B5148" w:rsidRDefault="00B149DD" w:rsidP="004539A3">
            <w:pPr>
              <w:widowControl/>
              <w:jc w:val="center"/>
              <w:rPr>
                <w:rFonts w:ascii="宋体" w:hAnsi="宋体" w:cs="宋体"/>
                <w:kern w:val="0"/>
                <w:sz w:val="18"/>
                <w:szCs w:val="18"/>
              </w:rPr>
            </w:pPr>
            <w:r w:rsidRPr="005B5148">
              <w:rPr>
                <w:rFonts w:ascii="宋体" w:hAnsi="宋体" w:cs="宋体" w:hint="eastAsia"/>
                <w:kern w:val="0"/>
                <w:sz w:val="18"/>
                <w:szCs w:val="18"/>
              </w:rPr>
              <w:t>3</w:t>
            </w:r>
            <w:r>
              <w:rPr>
                <w:rFonts w:ascii="宋体" w:hAnsi="宋体" w:cs="宋体" w:hint="eastAsia"/>
                <w:kern w:val="0"/>
                <w:sz w:val="18"/>
                <w:szCs w:val="18"/>
              </w:rPr>
              <w:t>5</w:t>
            </w:r>
            <w:r w:rsidRPr="005B5148">
              <w:rPr>
                <w:rFonts w:ascii="宋体" w:hAnsi="宋体" w:cs="宋体" w:hint="eastAsia"/>
                <w:kern w:val="0"/>
                <w:sz w:val="18"/>
                <w:szCs w:val="18"/>
              </w:rPr>
              <w:t>%</w:t>
            </w:r>
          </w:p>
        </w:tc>
      </w:tr>
    </w:tbl>
    <w:p w:rsidR="000B4882" w:rsidRPr="000B4882" w:rsidRDefault="000B4882" w:rsidP="000B4882">
      <w:pPr>
        <w:ind w:firstLine="420"/>
        <w:rPr>
          <w:rFonts w:ascii="楷体_GB2312" w:eastAsia="楷体_GB2312"/>
          <w:noProof/>
          <w:color w:val="000000"/>
        </w:rPr>
        <w:sectPr w:rsidR="000B4882" w:rsidRPr="000B4882" w:rsidSect="00C24609">
          <w:headerReference w:type="default" r:id="rId10"/>
          <w:footerReference w:type="even" r:id="rId11"/>
          <w:footerReference w:type="default" r:id="rId12"/>
          <w:pgSz w:w="11906" w:h="16838"/>
          <w:pgMar w:top="3402" w:right="851" w:bottom="1418" w:left="4536" w:header="851" w:footer="992" w:gutter="0"/>
          <w:cols w:space="425"/>
          <w:docGrid w:type="lines" w:linePitch="312"/>
        </w:sectPr>
      </w:pPr>
    </w:p>
    <w:p w:rsidR="001E3B52" w:rsidRPr="007C1C3D" w:rsidRDefault="001E3B52" w:rsidP="00A422E1">
      <w:pPr>
        <w:spacing w:beforeLines="100" w:afterLines="50"/>
        <w:ind w:firstLineChars="1000" w:firstLine="2811"/>
        <w:rPr>
          <w:rFonts w:ascii="黑体" w:eastAsia="黑体" w:hAnsi="宋体-18030" w:cs="宋体-18030"/>
          <w:b/>
          <w:bCs/>
          <w:color w:val="000000"/>
          <w:kern w:val="44"/>
          <w:sz w:val="28"/>
          <w:szCs w:val="28"/>
        </w:rPr>
      </w:pPr>
      <w:r>
        <w:rPr>
          <w:rFonts w:ascii="黑体" w:eastAsia="黑体" w:hAnsi="宋体-18030" w:cs="宋体-18030" w:hint="eastAsia"/>
          <w:b/>
          <w:bCs/>
          <w:color w:val="000000"/>
          <w:kern w:val="44"/>
          <w:sz w:val="28"/>
          <w:szCs w:val="28"/>
        </w:rPr>
        <w:lastRenderedPageBreak/>
        <w:t>一、</w:t>
      </w:r>
      <w:r w:rsidRPr="007C1C3D">
        <w:rPr>
          <w:rFonts w:ascii="黑体" w:eastAsia="黑体" w:hAnsi="宋体-18030" w:cs="宋体-18030" w:hint="eastAsia"/>
          <w:b/>
          <w:bCs/>
          <w:color w:val="000000"/>
          <w:kern w:val="44"/>
          <w:sz w:val="28"/>
          <w:szCs w:val="28"/>
        </w:rPr>
        <w:t xml:space="preserve">基金投资策略 </w:t>
      </w:r>
    </w:p>
    <w:p w:rsidR="001E3B52" w:rsidRPr="005E4592" w:rsidRDefault="001E3B52" w:rsidP="00A422E1">
      <w:pPr>
        <w:spacing w:beforeLines="100" w:afterLines="50"/>
        <w:ind w:leftChars="1350" w:left="2835" w:firstLineChars="196" w:firstLine="472"/>
        <w:rPr>
          <w:rFonts w:ascii="黑体" w:eastAsia="黑体" w:hAnsi="宋体-18030" w:cs="宋体-18030"/>
          <w:b/>
          <w:bCs/>
          <w:color w:val="003366"/>
          <w:kern w:val="44"/>
          <w:sz w:val="24"/>
        </w:rPr>
      </w:pPr>
      <w:r w:rsidRPr="005E4592">
        <w:rPr>
          <w:rFonts w:ascii="黑体" w:eastAsia="黑体" w:hAnsi="宋体-18030" w:cs="宋体-18030" w:hint="eastAsia"/>
          <w:b/>
          <w:bCs/>
          <w:color w:val="003366"/>
          <w:kern w:val="44"/>
          <w:sz w:val="24"/>
        </w:rPr>
        <w:t>（一）</w:t>
      </w:r>
      <w:r w:rsidR="004938DD" w:rsidRPr="005E4592">
        <w:rPr>
          <w:rFonts w:ascii="黑体" w:eastAsia="黑体" w:hAnsi="宋体-18030" w:cs="宋体-18030" w:hint="eastAsia"/>
          <w:b/>
          <w:bCs/>
          <w:color w:val="003366"/>
          <w:kern w:val="44"/>
          <w:sz w:val="24"/>
        </w:rPr>
        <w:t>基础市场分析：</w:t>
      </w:r>
      <w:r w:rsidRPr="005E4592">
        <w:rPr>
          <w:rFonts w:ascii="黑体" w:eastAsia="黑体" w:hAnsi="宋体-18030" w:cs="宋体-18030" w:hint="eastAsia"/>
          <w:b/>
          <w:bCs/>
          <w:color w:val="003366"/>
          <w:kern w:val="44"/>
          <w:sz w:val="24"/>
        </w:rPr>
        <w:t>主题性机会频现，市场机会大于风险</w:t>
      </w:r>
    </w:p>
    <w:p w:rsidR="00CB03D0" w:rsidRPr="00CB03D0" w:rsidRDefault="00CB03D0" w:rsidP="00A422E1">
      <w:pPr>
        <w:spacing w:beforeLines="50"/>
        <w:ind w:leftChars="1350" w:left="2835" w:firstLineChars="202" w:firstLine="424"/>
        <w:rPr>
          <w:rFonts w:ascii="楷体_GB2312" w:eastAsia="楷体_GB2312" w:hAnsi="宋体" w:cs="宋体"/>
          <w:kern w:val="0"/>
          <w:szCs w:val="21"/>
        </w:rPr>
      </w:pPr>
      <w:r w:rsidRPr="00CB03D0">
        <w:rPr>
          <w:rFonts w:ascii="楷体_GB2312" w:eastAsia="楷体_GB2312" w:hAnsi="宋体" w:cs="宋体" w:hint="eastAsia"/>
          <w:kern w:val="0"/>
          <w:szCs w:val="21"/>
        </w:rPr>
        <w:t>正如国际货币基金组织(IMF)认为，目前发达经济体需求和库存正不断增加，从新兴市场手中拾起经济增长的接力棒：欧元区稳定的通胀率明显缓解前期市场对欧元区通缩的担忧，经济景气不断向好，经济复苏的基础正在加强；美国尽管在去年四季度先后受政府关门、寒冬等负面因素冲击，但其近期的制造业、房地产市场数据显现经济仍处于改善的轨道上。</w:t>
      </w:r>
    </w:p>
    <w:p w:rsidR="00CB03D0" w:rsidRPr="00CB03D0" w:rsidRDefault="00CB03D0" w:rsidP="00A422E1">
      <w:pPr>
        <w:spacing w:beforeLines="50"/>
        <w:ind w:leftChars="1350" w:left="2835" w:firstLineChars="202" w:firstLine="424"/>
        <w:rPr>
          <w:rFonts w:ascii="楷体_GB2312" w:eastAsia="楷体_GB2312" w:hAnsi="宋体" w:cs="宋体"/>
          <w:kern w:val="0"/>
          <w:szCs w:val="21"/>
        </w:rPr>
      </w:pPr>
      <w:r w:rsidRPr="00CB03D0">
        <w:rPr>
          <w:rFonts w:ascii="楷体_GB2312" w:eastAsia="楷体_GB2312" w:hAnsi="宋体" w:cs="宋体" w:hint="eastAsia"/>
          <w:kern w:val="0"/>
          <w:szCs w:val="21"/>
        </w:rPr>
        <w:t>由于美国自今年1月开始缩减推出已有五年的超宽松货币政策，包括中国在内的新兴经济体将面临着资金流出压力，这对中国等市场的金融稳定造成一定程度的冲击，我们预期这一冲击将在未来较长一段时间持续存在。除此之外，市场更为担忧的是中国经济形势，中国2月汇丰制造业PMI创7个月最低水平，国家统计局制造业PMI也连续第三个月下降，表明中国经济增长动能仍然偏弱。除此之外，近期房地产景气回落和人民币暴跌也打压了市场的风险偏好。在利率市场化和经济转型的大背景下，当前市场仍然缺乏趋势性机会。</w:t>
      </w:r>
    </w:p>
    <w:p w:rsidR="001E3B52" w:rsidRDefault="00CB03D0" w:rsidP="00A422E1">
      <w:pPr>
        <w:spacing w:beforeLines="50"/>
        <w:ind w:leftChars="1350" w:left="2835" w:firstLineChars="202" w:firstLine="424"/>
        <w:rPr>
          <w:rFonts w:ascii="楷体_GB2312" w:eastAsia="楷体_GB2312" w:hAnsi="宋体" w:cs="宋体"/>
          <w:kern w:val="0"/>
          <w:szCs w:val="21"/>
        </w:rPr>
      </w:pPr>
      <w:r w:rsidRPr="00CB03D0">
        <w:rPr>
          <w:rFonts w:ascii="楷体_GB2312" w:eastAsia="楷体_GB2312" w:hAnsi="宋体" w:cs="宋体" w:hint="eastAsia"/>
          <w:kern w:val="0"/>
          <w:szCs w:val="21"/>
        </w:rPr>
        <w:t>但整体来看，中国经济运行仍然平稳，经济增速放缓仍在政府和市场的预期范围之内，且目前市场估值水平已经充分反映这一预期，市场进一步大幅下跌的可能性很小；随着两会政策出台，市场主题性机</w:t>
      </w:r>
      <w:r>
        <w:rPr>
          <w:rFonts w:ascii="楷体_GB2312" w:eastAsia="楷体_GB2312" w:hAnsi="宋体" w:cs="宋体" w:hint="eastAsia"/>
          <w:kern w:val="0"/>
          <w:szCs w:val="21"/>
        </w:rPr>
        <w:t>会将不断涌现，诱发近期市场愈发活跃，这使得当前市场机会大于风险</w:t>
      </w:r>
      <w:r w:rsidR="001E3B52">
        <w:rPr>
          <w:rFonts w:ascii="楷体_GB2312" w:eastAsia="楷体_GB2312" w:hAnsi="宋体" w:cs="宋体" w:hint="eastAsia"/>
          <w:kern w:val="0"/>
          <w:szCs w:val="21"/>
        </w:rPr>
        <w:t>。</w:t>
      </w:r>
    </w:p>
    <w:p w:rsidR="001E3B52" w:rsidRPr="005E4592" w:rsidRDefault="001E3B52" w:rsidP="00A422E1">
      <w:pPr>
        <w:spacing w:beforeLines="100" w:afterLines="50"/>
        <w:ind w:leftChars="1350" w:left="2835" w:firstLineChars="196" w:firstLine="472"/>
        <w:rPr>
          <w:rFonts w:ascii="黑体" w:eastAsia="黑体" w:hAnsi="宋体-18030" w:cs="宋体-18030"/>
          <w:b/>
          <w:bCs/>
          <w:color w:val="003366"/>
          <w:kern w:val="44"/>
          <w:sz w:val="24"/>
        </w:rPr>
      </w:pPr>
      <w:r w:rsidRPr="005E4592">
        <w:rPr>
          <w:rFonts w:ascii="黑体" w:eastAsia="黑体" w:hAnsi="宋体-18030" w:cs="宋体-18030" w:hint="eastAsia"/>
          <w:b/>
          <w:bCs/>
          <w:color w:val="003366"/>
          <w:kern w:val="44"/>
          <w:sz w:val="24"/>
        </w:rPr>
        <w:t>（二）</w:t>
      </w:r>
      <w:r w:rsidR="004938DD" w:rsidRPr="005E4592">
        <w:rPr>
          <w:rFonts w:ascii="黑体" w:eastAsia="黑体" w:hAnsi="宋体-18030" w:cs="宋体-18030" w:hint="eastAsia"/>
          <w:b/>
          <w:bCs/>
          <w:color w:val="003366"/>
          <w:kern w:val="44"/>
          <w:sz w:val="24"/>
        </w:rPr>
        <w:t>基金投资策略：</w:t>
      </w:r>
      <w:r w:rsidR="00653334">
        <w:rPr>
          <w:rFonts w:ascii="黑体" w:eastAsia="黑体" w:hAnsi="宋体-18030" w:cs="宋体-18030" w:hint="eastAsia"/>
          <w:b/>
          <w:bCs/>
          <w:color w:val="003366"/>
          <w:kern w:val="44"/>
          <w:sz w:val="24"/>
        </w:rPr>
        <w:t>价值为主</w:t>
      </w:r>
      <w:r w:rsidR="007070BF">
        <w:rPr>
          <w:rFonts w:ascii="黑体" w:eastAsia="黑体" w:hAnsi="宋体-18030" w:cs="宋体-18030" w:hint="eastAsia"/>
          <w:b/>
          <w:bCs/>
          <w:color w:val="003366"/>
          <w:kern w:val="44"/>
          <w:sz w:val="24"/>
        </w:rPr>
        <w:t>成长</w:t>
      </w:r>
      <w:r w:rsidRPr="005E4592">
        <w:rPr>
          <w:rFonts w:ascii="黑体" w:eastAsia="黑体" w:hAnsi="宋体-18030" w:cs="宋体-18030" w:hint="eastAsia"/>
          <w:b/>
          <w:bCs/>
          <w:color w:val="003366"/>
          <w:kern w:val="44"/>
          <w:sz w:val="24"/>
        </w:rPr>
        <w:t>为辅</w:t>
      </w:r>
      <w:r w:rsidR="007070BF">
        <w:rPr>
          <w:rFonts w:ascii="黑体" w:eastAsia="黑体" w:hAnsi="宋体-18030" w:cs="宋体-18030" w:hint="eastAsia"/>
          <w:b/>
          <w:bCs/>
          <w:color w:val="003366"/>
          <w:kern w:val="44"/>
          <w:sz w:val="24"/>
        </w:rPr>
        <w:t>配置基金</w:t>
      </w:r>
    </w:p>
    <w:p w:rsidR="00CB03D0" w:rsidRPr="00CB03D0" w:rsidRDefault="00CB03D0" w:rsidP="00A422E1">
      <w:pPr>
        <w:spacing w:beforeLines="50"/>
        <w:ind w:leftChars="1350" w:left="2835" w:firstLineChars="202" w:firstLine="424"/>
        <w:rPr>
          <w:rFonts w:ascii="楷体_GB2312" w:eastAsia="楷体_GB2312" w:hAnsi="宋体" w:cs="宋体"/>
          <w:kern w:val="0"/>
          <w:szCs w:val="21"/>
        </w:rPr>
      </w:pPr>
      <w:r w:rsidRPr="00CB03D0">
        <w:rPr>
          <w:rFonts w:ascii="楷体_GB2312" w:eastAsia="楷体_GB2312" w:hAnsi="宋体" w:cs="宋体" w:hint="eastAsia"/>
          <w:kern w:val="0"/>
          <w:szCs w:val="21"/>
        </w:rPr>
        <w:t>因此，我们认为，后期市场仍将在“经济增长减弱”和“政策推进”的相互影响下演绎，中短期内震荡和结构性行情是主基调。长期来看，低廉的市场估值和中国经济转型的推进为当前市场奠定了长期投资的价值基础。建议高风险偏好的投资者和阶段性投资者密切关注政策主题，积极把握短期市场结构性机会；建议中低风险投资者和配置型投资者均衡布局，把握股市长期投资价值。</w:t>
      </w:r>
    </w:p>
    <w:p w:rsidR="00CB03D0" w:rsidRPr="00CB03D0" w:rsidRDefault="00CB03D0" w:rsidP="00A422E1">
      <w:pPr>
        <w:spacing w:beforeLines="50"/>
        <w:ind w:leftChars="1350" w:left="2835" w:firstLineChars="202" w:firstLine="424"/>
        <w:rPr>
          <w:rFonts w:ascii="楷体_GB2312" w:eastAsia="楷体_GB2312" w:hAnsi="宋体" w:cs="宋体"/>
          <w:kern w:val="0"/>
          <w:szCs w:val="21"/>
        </w:rPr>
      </w:pPr>
      <w:r w:rsidRPr="00CB03D0">
        <w:rPr>
          <w:rFonts w:ascii="楷体_GB2312" w:eastAsia="楷体_GB2312" w:hAnsi="宋体" w:cs="宋体" w:hint="eastAsia"/>
          <w:kern w:val="0"/>
          <w:szCs w:val="21"/>
        </w:rPr>
        <w:t>权益类基金方面，建议投资者短期内保持相对乐观态度，立足于改革和创新主线，积极关注国企改革、节能环保、高端装备制造、公用事业等受益政策推动的主题性机会。从配置角度来看，尽管“创新”驱动新兴产业为主导的创业板在过去一年持续强劲，但相应板块已经风险大于机遇，完全回避相应版块或过于武断，但当前时点已经到了适当降低主要持仓以创业板为首的小市值高估值股票基金的配置比例的时候。建议投资者以</w:t>
      </w:r>
      <w:r w:rsidR="00653334">
        <w:rPr>
          <w:rFonts w:ascii="楷体_GB2312" w:eastAsia="楷体_GB2312" w:hAnsi="宋体" w:cs="宋体" w:hint="eastAsia"/>
          <w:kern w:val="0"/>
          <w:szCs w:val="21"/>
        </w:rPr>
        <w:t>价值</w:t>
      </w:r>
      <w:r w:rsidRPr="00CB03D0">
        <w:rPr>
          <w:rFonts w:ascii="楷体_GB2312" w:eastAsia="楷体_GB2312" w:hAnsi="宋体" w:cs="宋体" w:hint="eastAsia"/>
          <w:kern w:val="0"/>
          <w:szCs w:val="21"/>
        </w:rPr>
        <w:t>基金为主、成长基金为辅，核心配置倍具估值优势的蓝筹</w:t>
      </w:r>
      <w:r w:rsidR="00653334">
        <w:rPr>
          <w:rFonts w:ascii="楷体_GB2312" w:eastAsia="楷体_GB2312" w:hAnsi="宋体" w:cs="宋体" w:hint="eastAsia"/>
          <w:kern w:val="0"/>
          <w:szCs w:val="21"/>
        </w:rPr>
        <w:t>价值</w:t>
      </w:r>
      <w:r w:rsidRPr="00CB03D0">
        <w:rPr>
          <w:rFonts w:ascii="楷体_GB2312" w:eastAsia="楷体_GB2312" w:hAnsi="宋体" w:cs="宋体" w:hint="eastAsia"/>
          <w:kern w:val="0"/>
          <w:szCs w:val="21"/>
        </w:rPr>
        <w:t>类绩优基金，把握确定性收益</w:t>
      </w:r>
      <w:r w:rsidR="00653334">
        <w:rPr>
          <w:rFonts w:ascii="楷体_GB2312" w:eastAsia="楷体_GB2312" w:hAnsi="宋体" w:cs="宋体" w:hint="eastAsia"/>
          <w:kern w:val="0"/>
          <w:szCs w:val="21"/>
        </w:rPr>
        <w:t>；</w:t>
      </w:r>
      <w:r w:rsidRPr="00CB03D0">
        <w:rPr>
          <w:rFonts w:ascii="楷体_GB2312" w:eastAsia="楷体_GB2312" w:hAnsi="宋体" w:cs="宋体" w:hint="eastAsia"/>
          <w:kern w:val="0"/>
          <w:szCs w:val="21"/>
        </w:rPr>
        <w:t>卫星配置配置成长类基金，追求市场波动带来的超额收益。</w:t>
      </w:r>
    </w:p>
    <w:p w:rsidR="00CB03D0" w:rsidRPr="00CB03D0" w:rsidRDefault="00CB03D0" w:rsidP="00A422E1">
      <w:pPr>
        <w:spacing w:beforeLines="50"/>
        <w:ind w:leftChars="1350" w:left="2835" w:firstLineChars="202" w:firstLine="424"/>
        <w:rPr>
          <w:rFonts w:ascii="楷体_GB2312" w:eastAsia="楷体_GB2312" w:hAnsi="宋体" w:cs="宋体"/>
          <w:kern w:val="0"/>
          <w:szCs w:val="21"/>
        </w:rPr>
      </w:pPr>
      <w:r w:rsidRPr="00CB03D0">
        <w:rPr>
          <w:rFonts w:ascii="楷体_GB2312" w:eastAsia="楷体_GB2312" w:hAnsi="宋体" w:cs="宋体" w:hint="eastAsia"/>
          <w:kern w:val="0"/>
          <w:szCs w:val="21"/>
        </w:rPr>
        <w:lastRenderedPageBreak/>
        <w:t>固定收益率基金方面，2013年1月中旬以来市场流动性推动债市持续向暖，但债券市场仍处于利率市场化进程中，短期流动性放松难以持续，债市收益率中枢上行压力犹存。中短期来看，监管层对货币市场基金运作提出警示，有望改善当前利率曲线过于平坦化的局面，经济持续低迷或将推动信用利差进一步扩大。建议投资者重点关注重仓短久期、高信用评级券种的绩优基金，适当回避杠杆率过高且高度重仓低信用评级的债券型基金；建议保守型投资者积极关注市场资金价格持续高企背景下货币市场基金的良好投资机会；但长期来看，当前债券市场收益率中枢维持在历史高位水平，债市息票收入稳定可观，建议投资者密切关注债券型基金蕴含的长期配置价值。</w:t>
      </w:r>
    </w:p>
    <w:p w:rsidR="001E3B52" w:rsidRDefault="00CB03D0" w:rsidP="00A422E1">
      <w:pPr>
        <w:spacing w:beforeLines="50"/>
        <w:ind w:leftChars="1350" w:left="2835" w:firstLineChars="202" w:firstLine="424"/>
        <w:rPr>
          <w:rFonts w:ascii="楷体_GB2312" w:eastAsia="楷体_GB2312" w:hAnsi="宋体" w:cs="宋体"/>
          <w:kern w:val="0"/>
          <w:szCs w:val="21"/>
        </w:rPr>
      </w:pPr>
      <w:r w:rsidRPr="00CB03D0">
        <w:rPr>
          <w:rFonts w:ascii="楷体_GB2312" w:eastAsia="楷体_GB2312" w:hAnsi="宋体" w:cs="宋体" w:hint="eastAsia"/>
          <w:kern w:val="0"/>
          <w:szCs w:val="21"/>
        </w:rPr>
        <w:t>QDII方面，我们前期判断，仍然看好经济复苏背景下成熟市场的引擎作用，建议投资者侧重于关注基金中主要投资发达国家股票市场，尤其是美国股票市场的QDII，适当回避主要投资新兴市场的QDII所面临的金融波动风险。此外，整体上当前的复苏形势仍然较为脆弱，而短期经济趋于乐观使得美元持续走强，这给以美元计价大宗商品带来巨大调整压力，建议投资者回避资源品、商品类QDII</w:t>
      </w:r>
      <w:r w:rsidR="001E3B52" w:rsidRPr="002C106C">
        <w:rPr>
          <w:rFonts w:ascii="楷体_GB2312" w:eastAsia="楷体_GB2312" w:hAnsi="宋体" w:cs="宋体" w:hint="eastAsia"/>
          <w:kern w:val="0"/>
          <w:szCs w:val="21"/>
        </w:rPr>
        <w:t>。</w:t>
      </w:r>
    </w:p>
    <w:p w:rsidR="001E3B52" w:rsidRPr="005E4592" w:rsidRDefault="004938DD" w:rsidP="00A422E1">
      <w:pPr>
        <w:spacing w:beforeLines="100" w:afterLines="50"/>
        <w:ind w:leftChars="1350" w:left="2835" w:firstLineChars="196" w:firstLine="472"/>
        <w:rPr>
          <w:rFonts w:ascii="黑体" w:eastAsia="黑体" w:hAnsi="宋体-18030" w:cs="宋体-18030"/>
          <w:b/>
          <w:bCs/>
          <w:color w:val="003366"/>
          <w:kern w:val="44"/>
          <w:sz w:val="24"/>
        </w:rPr>
      </w:pPr>
      <w:r w:rsidRPr="005E4592">
        <w:rPr>
          <w:rFonts w:ascii="黑体" w:eastAsia="黑体" w:hAnsi="宋体-18030" w:cs="宋体-18030" w:hint="eastAsia"/>
          <w:b/>
          <w:bCs/>
          <w:color w:val="003366"/>
          <w:kern w:val="44"/>
          <w:sz w:val="24"/>
        </w:rPr>
        <w:t>（三）</w:t>
      </w:r>
      <w:r w:rsidR="001E3B52" w:rsidRPr="005E4592">
        <w:rPr>
          <w:rFonts w:ascii="黑体" w:eastAsia="黑体" w:hAnsi="宋体-18030" w:cs="宋体-18030" w:hint="eastAsia"/>
          <w:b/>
          <w:bCs/>
          <w:color w:val="003366"/>
          <w:kern w:val="44"/>
          <w:sz w:val="24"/>
        </w:rPr>
        <w:t>基金组合推荐</w:t>
      </w:r>
    </w:p>
    <w:p w:rsidR="00D97D07" w:rsidRDefault="001E3B52" w:rsidP="00A422E1">
      <w:pPr>
        <w:spacing w:beforeLines="50"/>
        <w:ind w:leftChars="1350" w:left="2835" w:firstLineChars="202" w:firstLine="424"/>
        <w:rPr>
          <w:rFonts w:ascii="楷体_GB2312" w:eastAsia="楷体_GB2312" w:hAnsi="宋体" w:cs="宋体"/>
          <w:kern w:val="0"/>
          <w:szCs w:val="21"/>
        </w:rPr>
      </w:pPr>
      <w:r w:rsidRPr="003A2393">
        <w:rPr>
          <w:rFonts w:ascii="楷体_GB2312" w:eastAsia="楷体_GB2312" w:hAnsi="宋体" w:cs="宋体" w:hint="eastAsia"/>
          <w:kern w:val="0"/>
          <w:szCs w:val="21"/>
        </w:rPr>
        <w:t>具体到组合构建上，我们在“市场机会大于风险。</w:t>
      </w:r>
      <w:r w:rsidR="00653334">
        <w:rPr>
          <w:rFonts w:ascii="楷体_GB2312" w:eastAsia="楷体_GB2312" w:hAnsi="宋体" w:cs="宋体" w:hint="eastAsia"/>
          <w:kern w:val="0"/>
          <w:szCs w:val="21"/>
        </w:rPr>
        <w:t>价值为主</w:t>
      </w:r>
      <w:r w:rsidR="00B149DD">
        <w:rPr>
          <w:rFonts w:ascii="楷体_GB2312" w:eastAsia="楷体_GB2312" w:hAnsi="宋体" w:cs="宋体" w:hint="eastAsia"/>
          <w:kern w:val="0"/>
          <w:szCs w:val="21"/>
        </w:rPr>
        <w:t>成长</w:t>
      </w:r>
      <w:r w:rsidRPr="003A2393">
        <w:rPr>
          <w:rFonts w:ascii="楷体_GB2312" w:eastAsia="楷体_GB2312" w:hAnsi="宋体" w:cs="宋体" w:hint="eastAsia"/>
          <w:kern w:val="0"/>
          <w:szCs w:val="21"/>
        </w:rPr>
        <w:t>为辅</w:t>
      </w:r>
      <w:r w:rsidR="00B149DD">
        <w:rPr>
          <w:rFonts w:ascii="楷体_GB2312" w:eastAsia="楷体_GB2312" w:hAnsi="宋体" w:cs="宋体" w:hint="eastAsia"/>
          <w:kern w:val="0"/>
          <w:szCs w:val="21"/>
        </w:rPr>
        <w:t>配置基金</w:t>
      </w:r>
      <w:r w:rsidRPr="003A2393">
        <w:rPr>
          <w:rFonts w:ascii="楷体_GB2312" w:eastAsia="楷体_GB2312" w:hAnsi="宋体" w:cs="宋体" w:hint="eastAsia"/>
          <w:kern w:val="0"/>
          <w:szCs w:val="21"/>
        </w:rPr>
        <w:t>”的基金投资策略指引下，充分考虑资产配置、行业结构、投资风格分散化原则，构建投资组合以供投资参考。</w:t>
      </w:r>
    </w:p>
    <w:p w:rsidR="001E3B52" w:rsidRPr="003A2393" w:rsidRDefault="001E3B52" w:rsidP="00A422E1">
      <w:pPr>
        <w:spacing w:beforeLines="50"/>
        <w:ind w:leftChars="1350" w:left="2835" w:firstLineChars="202" w:firstLine="424"/>
        <w:rPr>
          <w:rFonts w:ascii="楷体_GB2312" w:eastAsia="楷体_GB2312" w:hAnsi="宋体" w:cs="宋体"/>
          <w:kern w:val="0"/>
          <w:szCs w:val="21"/>
        </w:rPr>
      </w:pPr>
      <w:r w:rsidRPr="003A2393">
        <w:rPr>
          <w:rFonts w:ascii="楷体_GB2312" w:eastAsia="楷体_GB2312" w:hAnsi="宋体" w:cs="宋体" w:hint="eastAsia"/>
          <w:kern w:val="0"/>
          <w:szCs w:val="21"/>
        </w:rPr>
        <w:t>本期组合有所调整</w:t>
      </w:r>
      <w:r w:rsidR="00D97D07">
        <w:rPr>
          <w:rFonts w:ascii="楷体_GB2312" w:eastAsia="楷体_GB2312" w:hAnsi="宋体" w:cs="宋体" w:hint="eastAsia"/>
          <w:kern w:val="0"/>
          <w:szCs w:val="21"/>
        </w:rPr>
        <w:t>：</w:t>
      </w:r>
      <w:r w:rsidRPr="003A2393">
        <w:rPr>
          <w:rFonts w:ascii="楷体_GB2312" w:eastAsia="楷体_GB2312" w:hAnsi="宋体" w:cs="宋体" w:hint="eastAsia"/>
          <w:kern w:val="0"/>
          <w:szCs w:val="21"/>
        </w:rPr>
        <w:t>积极型组合中，将富国天惠调整为国泰纳斯达克100，并提高了对添富价值的配置比例，降低了对银河成长的配置比例；平衡组合中，因嘉实研究精选封闭申购，因此将之调整为</w:t>
      </w:r>
      <w:r w:rsidR="00D97D07">
        <w:rPr>
          <w:rFonts w:ascii="楷体_GB2312" w:eastAsia="楷体_GB2312" w:hAnsi="宋体" w:cs="宋体" w:hint="eastAsia"/>
          <w:kern w:val="0"/>
          <w:szCs w:val="21"/>
        </w:rPr>
        <w:t>博时</w:t>
      </w:r>
      <w:r w:rsidRPr="003A2393">
        <w:rPr>
          <w:rFonts w:ascii="楷体_GB2312" w:eastAsia="楷体_GB2312" w:hAnsi="宋体" w:cs="宋体" w:hint="eastAsia"/>
          <w:kern w:val="0"/>
          <w:szCs w:val="21"/>
        </w:rPr>
        <w:t>标普</w:t>
      </w:r>
      <w:r w:rsidR="00D97D07">
        <w:rPr>
          <w:rFonts w:ascii="楷体_GB2312" w:eastAsia="楷体_GB2312" w:hAnsi="宋体" w:cs="宋体" w:hint="eastAsia"/>
          <w:kern w:val="0"/>
          <w:szCs w:val="21"/>
        </w:rPr>
        <w:t>500；</w:t>
      </w:r>
      <w:r w:rsidRPr="003A2393">
        <w:rPr>
          <w:rFonts w:ascii="楷体_GB2312" w:eastAsia="楷体_GB2312" w:hAnsi="宋体" w:cs="宋体" w:hint="eastAsia"/>
          <w:kern w:val="0"/>
          <w:szCs w:val="21"/>
        </w:rPr>
        <w:t>稳定型组合不作调整。</w:t>
      </w:r>
    </w:p>
    <w:p w:rsidR="001E3B52" w:rsidRPr="00144B03" w:rsidRDefault="001E3B52" w:rsidP="005E24D9">
      <w:pPr>
        <w:spacing w:line="360" w:lineRule="auto"/>
        <w:ind w:left="4017" w:hangingChars="2223" w:hanging="4017"/>
        <w:jc w:val="center"/>
        <w:rPr>
          <w:rFonts w:ascii="楷体_GB2312" w:eastAsia="楷体_GB2312"/>
          <w:b/>
          <w:noProof/>
          <w:color w:val="000000"/>
        </w:rPr>
      </w:pPr>
      <w:r w:rsidRPr="00144B03">
        <w:rPr>
          <w:rFonts w:ascii="楷体_GB2312" w:eastAsia="楷体_GB2312" w:hint="eastAsia"/>
          <w:b/>
          <w:color w:val="000000"/>
          <w:sz w:val="18"/>
          <w:szCs w:val="18"/>
        </w:rPr>
        <w:t>表1上海证券基金评价研究中心基金组合</w:t>
      </w:r>
    </w:p>
    <w:tbl>
      <w:tblPr>
        <w:tblW w:w="5000" w:type="pct"/>
        <w:jc w:val="center"/>
        <w:tblLook w:val="0000"/>
      </w:tblPr>
      <w:tblGrid>
        <w:gridCol w:w="1790"/>
        <w:gridCol w:w="930"/>
        <w:gridCol w:w="731"/>
        <w:gridCol w:w="1790"/>
        <w:gridCol w:w="930"/>
        <w:gridCol w:w="680"/>
        <w:gridCol w:w="1887"/>
        <w:gridCol w:w="833"/>
      </w:tblGrid>
      <w:tr w:rsidR="001E3B52" w:rsidRPr="005B5148" w:rsidTr="00A422E1">
        <w:trPr>
          <w:trHeight w:val="285"/>
          <w:jc w:val="center"/>
        </w:trPr>
        <w:tc>
          <w:tcPr>
            <w:tcW w:w="1421" w:type="pct"/>
            <w:gridSpan w:val="2"/>
            <w:tcBorders>
              <w:top w:val="single" w:sz="4" w:space="0" w:color="auto"/>
              <w:left w:val="single" w:sz="4" w:space="0" w:color="auto"/>
              <w:right w:val="single" w:sz="4" w:space="0" w:color="000000"/>
            </w:tcBorders>
            <w:shd w:val="clear" w:color="auto" w:fill="0000FF"/>
            <w:noWrap/>
            <w:vAlign w:val="bottom"/>
          </w:tcPr>
          <w:p w:rsidR="001E3B52" w:rsidRPr="00604445" w:rsidRDefault="001E3B52" w:rsidP="00A422E1">
            <w:pPr>
              <w:widowControl/>
              <w:jc w:val="center"/>
              <w:rPr>
                <w:rFonts w:ascii="宋体" w:hAnsi="宋体" w:cs="宋体"/>
                <w:b/>
                <w:color w:val="FFFFFF"/>
                <w:kern w:val="0"/>
                <w:sz w:val="18"/>
                <w:szCs w:val="18"/>
              </w:rPr>
            </w:pPr>
            <w:r w:rsidRPr="00604445">
              <w:rPr>
                <w:rFonts w:ascii="宋体" w:hAnsi="宋体" w:cs="宋体" w:hint="eastAsia"/>
                <w:b/>
                <w:color w:val="FFFFFF"/>
                <w:kern w:val="0"/>
                <w:sz w:val="18"/>
                <w:szCs w:val="18"/>
              </w:rPr>
              <w:t>积极型组合</w:t>
            </w:r>
          </w:p>
        </w:tc>
        <w:tc>
          <w:tcPr>
            <w:tcW w:w="382" w:type="pct"/>
            <w:vMerge w:val="restart"/>
            <w:tcBorders>
              <w:top w:val="single" w:sz="4" w:space="0" w:color="auto"/>
              <w:left w:val="single" w:sz="4" w:space="0" w:color="000000"/>
              <w:bottom w:val="single" w:sz="4" w:space="0" w:color="000000"/>
              <w:right w:val="single" w:sz="4" w:space="0" w:color="auto"/>
            </w:tcBorders>
            <w:shd w:val="clear" w:color="auto" w:fill="auto"/>
            <w:noWrap/>
            <w:vAlign w:val="bottom"/>
          </w:tcPr>
          <w:p w:rsidR="001E3B52" w:rsidRPr="005B5148" w:rsidRDefault="001E3B52" w:rsidP="00A422E1">
            <w:pPr>
              <w:widowControl/>
              <w:jc w:val="center"/>
              <w:rPr>
                <w:rFonts w:ascii="宋体" w:hAnsi="宋体" w:cs="宋体"/>
                <w:kern w:val="0"/>
                <w:sz w:val="18"/>
                <w:szCs w:val="18"/>
              </w:rPr>
            </w:pPr>
          </w:p>
        </w:tc>
        <w:tc>
          <w:tcPr>
            <w:tcW w:w="1421" w:type="pct"/>
            <w:gridSpan w:val="2"/>
            <w:tcBorders>
              <w:top w:val="single" w:sz="4" w:space="0" w:color="auto"/>
              <w:left w:val="single" w:sz="4" w:space="0" w:color="auto"/>
              <w:right w:val="single" w:sz="4" w:space="0" w:color="000000"/>
            </w:tcBorders>
            <w:shd w:val="clear" w:color="auto" w:fill="0000FF"/>
            <w:noWrap/>
            <w:vAlign w:val="bottom"/>
          </w:tcPr>
          <w:p w:rsidR="001E3B52" w:rsidRPr="00604445" w:rsidRDefault="001E3B52" w:rsidP="00A422E1">
            <w:pPr>
              <w:widowControl/>
              <w:jc w:val="center"/>
              <w:rPr>
                <w:rFonts w:ascii="宋体" w:hAnsi="宋体" w:cs="宋体"/>
                <w:b/>
                <w:color w:val="FFFFFF"/>
                <w:kern w:val="0"/>
                <w:sz w:val="18"/>
                <w:szCs w:val="18"/>
              </w:rPr>
            </w:pPr>
            <w:r w:rsidRPr="00604445">
              <w:rPr>
                <w:rFonts w:ascii="宋体" w:hAnsi="宋体" w:cs="宋体" w:hint="eastAsia"/>
                <w:b/>
                <w:color w:val="FFFFFF"/>
                <w:kern w:val="0"/>
                <w:sz w:val="18"/>
                <w:szCs w:val="18"/>
              </w:rPr>
              <w:t>平衡型组合</w:t>
            </w:r>
          </w:p>
        </w:tc>
        <w:tc>
          <w:tcPr>
            <w:tcW w:w="355" w:type="pct"/>
            <w:vMerge w:val="restart"/>
            <w:tcBorders>
              <w:top w:val="single" w:sz="4" w:space="0" w:color="auto"/>
              <w:left w:val="single" w:sz="4" w:space="0" w:color="000000"/>
              <w:bottom w:val="single" w:sz="4" w:space="0" w:color="000000"/>
              <w:right w:val="single" w:sz="4" w:space="0" w:color="auto"/>
            </w:tcBorders>
            <w:shd w:val="clear" w:color="auto" w:fill="auto"/>
            <w:noWrap/>
            <w:vAlign w:val="bottom"/>
          </w:tcPr>
          <w:p w:rsidR="001E3B52" w:rsidRPr="005B5148" w:rsidRDefault="001E3B52" w:rsidP="00A422E1">
            <w:pPr>
              <w:widowControl/>
              <w:jc w:val="center"/>
              <w:rPr>
                <w:rFonts w:ascii="宋体" w:hAnsi="宋体" w:cs="宋体"/>
                <w:kern w:val="0"/>
                <w:sz w:val="18"/>
                <w:szCs w:val="18"/>
              </w:rPr>
            </w:pPr>
          </w:p>
        </w:tc>
        <w:tc>
          <w:tcPr>
            <w:tcW w:w="1421" w:type="pct"/>
            <w:gridSpan w:val="2"/>
            <w:tcBorders>
              <w:top w:val="single" w:sz="4" w:space="0" w:color="auto"/>
              <w:left w:val="single" w:sz="4" w:space="0" w:color="auto"/>
              <w:right w:val="single" w:sz="4" w:space="0" w:color="000000"/>
            </w:tcBorders>
            <w:shd w:val="clear" w:color="auto" w:fill="0000FF"/>
            <w:noWrap/>
            <w:vAlign w:val="bottom"/>
          </w:tcPr>
          <w:p w:rsidR="001E3B52" w:rsidRPr="00604445" w:rsidRDefault="001E3B52" w:rsidP="00A422E1">
            <w:pPr>
              <w:widowControl/>
              <w:jc w:val="center"/>
              <w:rPr>
                <w:rFonts w:ascii="宋体" w:hAnsi="宋体" w:cs="宋体"/>
                <w:b/>
                <w:color w:val="FFFFFF"/>
                <w:kern w:val="0"/>
                <w:sz w:val="18"/>
                <w:szCs w:val="18"/>
              </w:rPr>
            </w:pPr>
            <w:r w:rsidRPr="00604445">
              <w:rPr>
                <w:rFonts w:ascii="宋体" w:hAnsi="宋体" w:cs="宋体" w:hint="eastAsia"/>
                <w:b/>
                <w:color w:val="FFFFFF"/>
                <w:kern w:val="0"/>
                <w:sz w:val="18"/>
                <w:szCs w:val="18"/>
              </w:rPr>
              <w:t>稳定型组合</w:t>
            </w:r>
          </w:p>
        </w:tc>
      </w:tr>
      <w:tr w:rsidR="001E3B52" w:rsidRPr="005B5148" w:rsidTr="00A422E1">
        <w:trPr>
          <w:trHeight w:val="285"/>
          <w:jc w:val="center"/>
        </w:trPr>
        <w:tc>
          <w:tcPr>
            <w:tcW w:w="935" w:type="pct"/>
            <w:tcBorders>
              <w:bottom w:val="single" w:sz="8" w:space="0" w:color="auto"/>
              <w:right w:val="single" w:sz="8" w:space="0" w:color="auto"/>
            </w:tcBorders>
            <w:shd w:val="clear" w:color="auto" w:fill="D9D9D9"/>
            <w:noWrap/>
            <w:vAlign w:val="bottom"/>
          </w:tcPr>
          <w:p w:rsidR="001E3B52" w:rsidRPr="005B5148" w:rsidRDefault="001E3B52" w:rsidP="00A422E1">
            <w:pPr>
              <w:widowControl/>
              <w:jc w:val="center"/>
              <w:rPr>
                <w:rFonts w:ascii="宋体" w:hAnsi="宋体" w:cs="宋体"/>
                <w:b/>
                <w:kern w:val="0"/>
                <w:sz w:val="18"/>
                <w:szCs w:val="18"/>
              </w:rPr>
            </w:pPr>
            <w:r w:rsidRPr="005B5148">
              <w:rPr>
                <w:rFonts w:ascii="宋体" w:hAnsi="宋体" w:cs="宋体" w:hint="eastAsia"/>
                <w:b/>
                <w:kern w:val="0"/>
                <w:sz w:val="18"/>
                <w:szCs w:val="18"/>
              </w:rPr>
              <w:t>样本基金</w:t>
            </w:r>
          </w:p>
        </w:tc>
        <w:tc>
          <w:tcPr>
            <w:tcW w:w="486" w:type="pct"/>
            <w:tcBorders>
              <w:left w:val="single" w:sz="8" w:space="0" w:color="auto"/>
              <w:bottom w:val="single" w:sz="8" w:space="0" w:color="auto"/>
              <w:right w:val="single" w:sz="8" w:space="0" w:color="auto"/>
            </w:tcBorders>
            <w:shd w:val="clear" w:color="auto" w:fill="D9D9D9"/>
            <w:noWrap/>
            <w:vAlign w:val="bottom"/>
          </w:tcPr>
          <w:p w:rsidR="001E3B52" w:rsidRPr="005B5148" w:rsidRDefault="001E3B52" w:rsidP="00A422E1">
            <w:pPr>
              <w:widowControl/>
              <w:jc w:val="center"/>
              <w:rPr>
                <w:rFonts w:ascii="宋体" w:hAnsi="宋体" w:cs="宋体"/>
                <w:b/>
                <w:kern w:val="0"/>
                <w:sz w:val="18"/>
                <w:szCs w:val="18"/>
              </w:rPr>
            </w:pPr>
            <w:r w:rsidRPr="005B5148">
              <w:rPr>
                <w:rFonts w:ascii="宋体" w:hAnsi="宋体" w:cs="宋体" w:hint="eastAsia"/>
                <w:b/>
                <w:kern w:val="0"/>
                <w:sz w:val="18"/>
                <w:szCs w:val="18"/>
              </w:rPr>
              <w:t>权重</w:t>
            </w:r>
          </w:p>
        </w:tc>
        <w:tc>
          <w:tcPr>
            <w:tcW w:w="382" w:type="pct"/>
            <w:vMerge/>
            <w:tcBorders>
              <w:top w:val="single" w:sz="4" w:space="0" w:color="auto"/>
              <w:left w:val="single" w:sz="8" w:space="0" w:color="auto"/>
              <w:bottom w:val="single" w:sz="4" w:space="0" w:color="000000"/>
            </w:tcBorders>
            <w:vAlign w:val="center"/>
          </w:tcPr>
          <w:p w:rsidR="001E3B52" w:rsidRPr="005B5148" w:rsidRDefault="001E3B52" w:rsidP="00A422E1">
            <w:pPr>
              <w:widowControl/>
              <w:jc w:val="left"/>
              <w:rPr>
                <w:rFonts w:ascii="宋体" w:hAnsi="宋体" w:cs="宋体"/>
                <w:kern w:val="0"/>
                <w:sz w:val="18"/>
                <w:szCs w:val="18"/>
              </w:rPr>
            </w:pPr>
          </w:p>
        </w:tc>
        <w:tc>
          <w:tcPr>
            <w:tcW w:w="935" w:type="pct"/>
            <w:tcBorders>
              <w:bottom w:val="single" w:sz="8" w:space="0" w:color="auto"/>
              <w:right w:val="single" w:sz="8" w:space="0" w:color="auto"/>
            </w:tcBorders>
            <w:shd w:val="clear" w:color="auto" w:fill="D9D9D9"/>
            <w:noWrap/>
            <w:vAlign w:val="bottom"/>
          </w:tcPr>
          <w:p w:rsidR="001E3B52" w:rsidRPr="005B5148" w:rsidRDefault="001E3B52" w:rsidP="00A422E1">
            <w:pPr>
              <w:widowControl/>
              <w:jc w:val="center"/>
              <w:rPr>
                <w:rFonts w:ascii="宋体" w:hAnsi="宋体" w:cs="宋体"/>
                <w:b/>
                <w:kern w:val="0"/>
                <w:sz w:val="18"/>
                <w:szCs w:val="18"/>
              </w:rPr>
            </w:pPr>
            <w:r w:rsidRPr="005B5148">
              <w:rPr>
                <w:rFonts w:ascii="宋体" w:hAnsi="宋体" w:cs="宋体" w:hint="eastAsia"/>
                <w:b/>
                <w:kern w:val="0"/>
                <w:sz w:val="18"/>
                <w:szCs w:val="18"/>
              </w:rPr>
              <w:t>样本基金</w:t>
            </w:r>
          </w:p>
        </w:tc>
        <w:tc>
          <w:tcPr>
            <w:tcW w:w="486" w:type="pct"/>
            <w:tcBorders>
              <w:left w:val="single" w:sz="8" w:space="0" w:color="auto"/>
              <w:bottom w:val="single" w:sz="8" w:space="0" w:color="auto"/>
              <w:right w:val="single" w:sz="8" w:space="0" w:color="auto"/>
            </w:tcBorders>
            <w:shd w:val="clear" w:color="auto" w:fill="D9D9D9"/>
            <w:noWrap/>
            <w:vAlign w:val="bottom"/>
          </w:tcPr>
          <w:p w:rsidR="001E3B52" w:rsidRPr="005B5148" w:rsidRDefault="001E3B52" w:rsidP="00A422E1">
            <w:pPr>
              <w:widowControl/>
              <w:jc w:val="center"/>
              <w:rPr>
                <w:rFonts w:ascii="宋体" w:hAnsi="宋体" w:cs="宋体"/>
                <w:b/>
                <w:kern w:val="0"/>
                <w:sz w:val="18"/>
                <w:szCs w:val="18"/>
              </w:rPr>
            </w:pPr>
            <w:r w:rsidRPr="005B5148">
              <w:rPr>
                <w:rFonts w:ascii="宋体" w:hAnsi="宋体" w:cs="宋体" w:hint="eastAsia"/>
                <w:b/>
                <w:kern w:val="0"/>
                <w:sz w:val="18"/>
                <w:szCs w:val="18"/>
              </w:rPr>
              <w:t>权重</w:t>
            </w:r>
          </w:p>
        </w:tc>
        <w:tc>
          <w:tcPr>
            <w:tcW w:w="355" w:type="pct"/>
            <w:vMerge/>
            <w:tcBorders>
              <w:top w:val="single" w:sz="4" w:space="0" w:color="auto"/>
              <w:left w:val="single" w:sz="8" w:space="0" w:color="auto"/>
              <w:bottom w:val="single" w:sz="4" w:space="0" w:color="000000"/>
            </w:tcBorders>
            <w:vAlign w:val="center"/>
          </w:tcPr>
          <w:p w:rsidR="001E3B52" w:rsidRPr="005B5148" w:rsidRDefault="001E3B52" w:rsidP="00A422E1">
            <w:pPr>
              <w:widowControl/>
              <w:jc w:val="left"/>
              <w:rPr>
                <w:rFonts w:ascii="宋体" w:hAnsi="宋体" w:cs="宋体"/>
                <w:kern w:val="0"/>
                <w:sz w:val="18"/>
                <w:szCs w:val="18"/>
              </w:rPr>
            </w:pPr>
          </w:p>
        </w:tc>
        <w:tc>
          <w:tcPr>
            <w:tcW w:w="986" w:type="pct"/>
            <w:tcBorders>
              <w:bottom w:val="single" w:sz="8" w:space="0" w:color="auto"/>
              <w:right w:val="single" w:sz="8" w:space="0" w:color="auto"/>
            </w:tcBorders>
            <w:shd w:val="clear" w:color="auto" w:fill="D9D9D9"/>
            <w:noWrap/>
            <w:vAlign w:val="bottom"/>
          </w:tcPr>
          <w:p w:rsidR="001E3B52" w:rsidRPr="005B5148" w:rsidRDefault="001E3B52" w:rsidP="00A422E1">
            <w:pPr>
              <w:widowControl/>
              <w:jc w:val="center"/>
              <w:rPr>
                <w:rFonts w:ascii="宋体" w:hAnsi="宋体" w:cs="宋体"/>
                <w:b/>
                <w:kern w:val="0"/>
                <w:sz w:val="18"/>
                <w:szCs w:val="18"/>
              </w:rPr>
            </w:pPr>
            <w:r w:rsidRPr="005B5148">
              <w:rPr>
                <w:rFonts w:ascii="宋体" w:hAnsi="宋体" w:cs="宋体" w:hint="eastAsia"/>
                <w:b/>
                <w:kern w:val="0"/>
                <w:sz w:val="18"/>
                <w:szCs w:val="18"/>
              </w:rPr>
              <w:t>样本基金</w:t>
            </w:r>
          </w:p>
        </w:tc>
        <w:tc>
          <w:tcPr>
            <w:tcW w:w="435" w:type="pct"/>
            <w:tcBorders>
              <w:left w:val="single" w:sz="8" w:space="0" w:color="auto"/>
              <w:bottom w:val="single" w:sz="8" w:space="0" w:color="auto"/>
              <w:right w:val="single" w:sz="8" w:space="0" w:color="auto"/>
            </w:tcBorders>
            <w:shd w:val="clear" w:color="auto" w:fill="D9D9D9"/>
            <w:noWrap/>
            <w:vAlign w:val="bottom"/>
          </w:tcPr>
          <w:p w:rsidR="001E3B52" w:rsidRPr="005B5148" w:rsidRDefault="001E3B52" w:rsidP="00A422E1">
            <w:pPr>
              <w:widowControl/>
              <w:jc w:val="center"/>
              <w:rPr>
                <w:rFonts w:ascii="宋体" w:hAnsi="宋体" w:cs="宋体"/>
                <w:b/>
                <w:kern w:val="0"/>
                <w:sz w:val="18"/>
                <w:szCs w:val="18"/>
              </w:rPr>
            </w:pPr>
            <w:r w:rsidRPr="005B5148">
              <w:rPr>
                <w:rFonts w:ascii="宋体" w:hAnsi="宋体" w:cs="宋体" w:hint="eastAsia"/>
                <w:b/>
                <w:kern w:val="0"/>
                <w:sz w:val="18"/>
                <w:szCs w:val="18"/>
              </w:rPr>
              <w:t>权重</w:t>
            </w:r>
          </w:p>
        </w:tc>
      </w:tr>
      <w:tr w:rsidR="001E3B52" w:rsidRPr="005B5148" w:rsidTr="00A422E1">
        <w:trPr>
          <w:trHeight w:val="285"/>
          <w:jc w:val="center"/>
        </w:trPr>
        <w:tc>
          <w:tcPr>
            <w:tcW w:w="935" w:type="pct"/>
            <w:tcBorders>
              <w:top w:val="single" w:sz="8" w:space="0" w:color="auto"/>
              <w:left w:val="single" w:sz="4" w:space="0" w:color="auto"/>
              <w:bottom w:val="single" w:sz="4" w:space="0" w:color="auto"/>
              <w:right w:val="single" w:sz="4" w:space="0" w:color="auto"/>
            </w:tcBorders>
            <w:shd w:val="clear" w:color="auto" w:fill="auto"/>
            <w:noWrap/>
            <w:vAlign w:val="bottom"/>
          </w:tcPr>
          <w:p w:rsidR="001E3B52" w:rsidRPr="00CA345B" w:rsidRDefault="001E3B52" w:rsidP="00A422E1">
            <w:pPr>
              <w:jc w:val="center"/>
              <w:rPr>
                <w:rFonts w:ascii="宋体" w:hAnsi="宋体" w:cs="宋体"/>
                <w:sz w:val="18"/>
                <w:szCs w:val="18"/>
              </w:rPr>
            </w:pPr>
            <w:r>
              <w:rPr>
                <w:rFonts w:hint="eastAsia"/>
                <w:sz w:val="18"/>
                <w:szCs w:val="18"/>
              </w:rPr>
              <w:t>银河成长</w:t>
            </w:r>
          </w:p>
        </w:tc>
        <w:tc>
          <w:tcPr>
            <w:tcW w:w="486" w:type="pct"/>
            <w:tcBorders>
              <w:top w:val="single" w:sz="8" w:space="0" w:color="auto"/>
              <w:left w:val="nil"/>
              <w:bottom w:val="single" w:sz="4" w:space="0" w:color="auto"/>
              <w:right w:val="single" w:sz="4" w:space="0" w:color="auto"/>
            </w:tcBorders>
            <w:shd w:val="clear" w:color="auto" w:fill="auto"/>
            <w:noWrap/>
            <w:vAlign w:val="bottom"/>
          </w:tcPr>
          <w:p w:rsidR="001E3B52" w:rsidRPr="005B5148" w:rsidRDefault="001E3B52" w:rsidP="00A422E1">
            <w:pPr>
              <w:widowControl/>
              <w:jc w:val="center"/>
              <w:rPr>
                <w:rFonts w:ascii="宋体" w:hAnsi="宋体" w:cs="宋体"/>
                <w:kern w:val="0"/>
                <w:sz w:val="18"/>
                <w:szCs w:val="18"/>
              </w:rPr>
            </w:pPr>
            <w:r>
              <w:rPr>
                <w:rFonts w:ascii="宋体" w:hAnsi="宋体" w:cs="宋体" w:hint="eastAsia"/>
                <w:kern w:val="0"/>
                <w:sz w:val="18"/>
                <w:szCs w:val="18"/>
              </w:rPr>
              <w:t>3</w:t>
            </w:r>
            <w:r w:rsidRPr="005B5148">
              <w:rPr>
                <w:rFonts w:ascii="宋体" w:hAnsi="宋体" w:cs="宋体" w:hint="eastAsia"/>
                <w:kern w:val="0"/>
                <w:sz w:val="18"/>
                <w:szCs w:val="18"/>
              </w:rPr>
              <w:t>0%</w:t>
            </w:r>
          </w:p>
        </w:tc>
        <w:tc>
          <w:tcPr>
            <w:tcW w:w="382" w:type="pct"/>
            <w:vMerge/>
            <w:tcBorders>
              <w:top w:val="single" w:sz="8" w:space="0" w:color="auto"/>
              <w:left w:val="single" w:sz="4" w:space="0" w:color="auto"/>
              <w:bottom w:val="single" w:sz="4" w:space="0" w:color="000000"/>
              <w:right w:val="single" w:sz="4" w:space="0" w:color="auto"/>
            </w:tcBorders>
            <w:vAlign w:val="center"/>
          </w:tcPr>
          <w:p w:rsidR="001E3B52" w:rsidRPr="005B5148" w:rsidRDefault="001E3B52" w:rsidP="00A422E1">
            <w:pPr>
              <w:widowControl/>
              <w:jc w:val="left"/>
              <w:rPr>
                <w:rFonts w:ascii="宋体" w:hAnsi="宋体" w:cs="宋体"/>
                <w:kern w:val="0"/>
                <w:sz w:val="18"/>
                <w:szCs w:val="18"/>
              </w:rPr>
            </w:pPr>
          </w:p>
        </w:tc>
        <w:tc>
          <w:tcPr>
            <w:tcW w:w="935" w:type="pct"/>
            <w:tcBorders>
              <w:top w:val="single" w:sz="8" w:space="0" w:color="auto"/>
              <w:left w:val="nil"/>
              <w:bottom w:val="single" w:sz="4" w:space="0" w:color="auto"/>
              <w:right w:val="single" w:sz="4" w:space="0" w:color="auto"/>
            </w:tcBorders>
            <w:shd w:val="clear" w:color="auto" w:fill="auto"/>
            <w:noWrap/>
            <w:vAlign w:val="bottom"/>
          </w:tcPr>
          <w:p w:rsidR="001E3B52" w:rsidRPr="005B5148" w:rsidRDefault="001E3B52" w:rsidP="00A422E1">
            <w:pPr>
              <w:widowControl/>
              <w:jc w:val="center"/>
              <w:rPr>
                <w:rFonts w:ascii="宋体" w:hAnsi="宋体" w:cs="宋体"/>
                <w:kern w:val="0"/>
                <w:sz w:val="18"/>
                <w:szCs w:val="18"/>
              </w:rPr>
            </w:pPr>
            <w:r w:rsidRPr="003C100F">
              <w:rPr>
                <w:rFonts w:ascii="宋体" w:hAnsi="宋体" w:cs="宋体" w:hint="eastAsia"/>
                <w:kern w:val="0"/>
                <w:sz w:val="18"/>
                <w:szCs w:val="18"/>
              </w:rPr>
              <w:t>博时标普500</w:t>
            </w:r>
          </w:p>
        </w:tc>
        <w:tc>
          <w:tcPr>
            <w:tcW w:w="486" w:type="pct"/>
            <w:tcBorders>
              <w:top w:val="single" w:sz="8" w:space="0" w:color="auto"/>
              <w:left w:val="nil"/>
              <w:bottom w:val="single" w:sz="4" w:space="0" w:color="auto"/>
              <w:right w:val="single" w:sz="4" w:space="0" w:color="auto"/>
            </w:tcBorders>
            <w:shd w:val="clear" w:color="auto" w:fill="auto"/>
            <w:noWrap/>
            <w:vAlign w:val="bottom"/>
          </w:tcPr>
          <w:p w:rsidR="001E3B52" w:rsidRPr="005B5148" w:rsidRDefault="001E3B52" w:rsidP="00A422E1">
            <w:pPr>
              <w:widowControl/>
              <w:jc w:val="center"/>
              <w:rPr>
                <w:rFonts w:ascii="宋体" w:hAnsi="宋体" w:cs="宋体"/>
                <w:kern w:val="0"/>
                <w:sz w:val="18"/>
                <w:szCs w:val="18"/>
              </w:rPr>
            </w:pPr>
            <w:r w:rsidRPr="005B5148">
              <w:rPr>
                <w:rFonts w:ascii="宋体" w:hAnsi="宋体" w:cs="宋体" w:hint="eastAsia"/>
                <w:kern w:val="0"/>
                <w:sz w:val="18"/>
                <w:szCs w:val="18"/>
              </w:rPr>
              <w:t>25%</w:t>
            </w:r>
          </w:p>
        </w:tc>
        <w:tc>
          <w:tcPr>
            <w:tcW w:w="355" w:type="pct"/>
            <w:vMerge/>
            <w:tcBorders>
              <w:top w:val="single" w:sz="8" w:space="0" w:color="auto"/>
              <w:left w:val="single" w:sz="4" w:space="0" w:color="auto"/>
              <w:bottom w:val="single" w:sz="4" w:space="0" w:color="000000"/>
              <w:right w:val="single" w:sz="4" w:space="0" w:color="auto"/>
            </w:tcBorders>
            <w:vAlign w:val="center"/>
          </w:tcPr>
          <w:p w:rsidR="001E3B52" w:rsidRPr="005B5148" w:rsidRDefault="001E3B52" w:rsidP="00A422E1">
            <w:pPr>
              <w:widowControl/>
              <w:jc w:val="left"/>
              <w:rPr>
                <w:rFonts w:ascii="宋体" w:hAnsi="宋体" w:cs="宋体"/>
                <w:kern w:val="0"/>
                <w:sz w:val="18"/>
                <w:szCs w:val="18"/>
              </w:rPr>
            </w:pPr>
          </w:p>
        </w:tc>
        <w:tc>
          <w:tcPr>
            <w:tcW w:w="986" w:type="pct"/>
            <w:tcBorders>
              <w:top w:val="single" w:sz="8" w:space="0" w:color="auto"/>
              <w:left w:val="nil"/>
              <w:bottom w:val="single" w:sz="4" w:space="0" w:color="auto"/>
              <w:right w:val="single" w:sz="4" w:space="0" w:color="auto"/>
            </w:tcBorders>
            <w:shd w:val="clear" w:color="auto" w:fill="auto"/>
            <w:noWrap/>
            <w:vAlign w:val="bottom"/>
          </w:tcPr>
          <w:p w:rsidR="001E3B52" w:rsidRPr="00E86A04" w:rsidRDefault="001E3B52" w:rsidP="00A422E1">
            <w:pPr>
              <w:widowControl/>
              <w:jc w:val="center"/>
              <w:rPr>
                <w:rFonts w:ascii="宋体" w:hAnsi="宋体" w:cs="宋体"/>
                <w:kern w:val="0"/>
                <w:sz w:val="18"/>
                <w:szCs w:val="18"/>
              </w:rPr>
            </w:pPr>
            <w:r>
              <w:rPr>
                <w:rFonts w:ascii="宋体" w:hAnsi="宋体" w:cs="宋体" w:hint="eastAsia"/>
                <w:kern w:val="0"/>
                <w:sz w:val="18"/>
                <w:szCs w:val="18"/>
              </w:rPr>
              <w:t>建信货币</w:t>
            </w:r>
          </w:p>
        </w:tc>
        <w:tc>
          <w:tcPr>
            <w:tcW w:w="435" w:type="pct"/>
            <w:tcBorders>
              <w:top w:val="single" w:sz="8" w:space="0" w:color="auto"/>
              <w:left w:val="nil"/>
              <w:bottom w:val="single" w:sz="4" w:space="0" w:color="auto"/>
              <w:right w:val="single" w:sz="4" w:space="0" w:color="auto"/>
            </w:tcBorders>
            <w:shd w:val="clear" w:color="auto" w:fill="auto"/>
            <w:noWrap/>
            <w:vAlign w:val="bottom"/>
          </w:tcPr>
          <w:p w:rsidR="001E3B52" w:rsidRPr="005B5148" w:rsidRDefault="001E3B52" w:rsidP="00A422E1">
            <w:pPr>
              <w:widowControl/>
              <w:jc w:val="center"/>
              <w:rPr>
                <w:rFonts w:ascii="宋体" w:hAnsi="宋体" w:cs="宋体"/>
                <w:kern w:val="0"/>
                <w:sz w:val="18"/>
                <w:szCs w:val="18"/>
              </w:rPr>
            </w:pPr>
            <w:r>
              <w:rPr>
                <w:rFonts w:ascii="宋体" w:hAnsi="宋体" w:cs="宋体" w:hint="eastAsia"/>
                <w:kern w:val="0"/>
                <w:sz w:val="18"/>
                <w:szCs w:val="18"/>
              </w:rPr>
              <w:t>30</w:t>
            </w:r>
            <w:r w:rsidRPr="005B5148">
              <w:rPr>
                <w:rFonts w:ascii="宋体" w:hAnsi="宋体" w:cs="宋体" w:hint="eastAsia"/>
                <w:kern w:val="0"/>
                <w:sz w:val="18"/>
                <w:szCs w:val="18"/>
              </w:rPr>
              <w:t>%</w:t>
            </w:r>
          </w:p>
        </w:tc>
      </w:tr>
      <w:tr w:rsidR="001E3B52" w:rsidRPr="005B5148" w:rsidTr="00A422E1">
        <w:trPr>
          <w:trHeight w:val="285"/>
          <w:jc w:val="center"/>
        </w:trPr>
        <w:tc>
          <w:tcPr>
            <w:tcW w:w="935" w:type="pct"/>
            <w:tcBorders>
              <w:top w:val="nil"/>
              <w:left w:val="single" w:sz="4" w:space="0" w:color="auto"/>
              <w:bottom w:val="single" w:sz="4" w:space="0" w:color="auto"/>
              <w:right w:val="single" w:sz="4" w:space="0" w:color="auto"/>
            </w:tcBorders>
            <w:shd w:val="clear" w:color="auto" w:fill="auto"/>
            <w:noWrap/>
            <w:vAlign w:val="bottom"/>
          </w:tcPr>
          <w:p w:rsidR="001E3B52" w:rsidRPr="00CA345B" w:rsidRDefault="001E3B52" w:rsidP="00A422E1">
            <w:pPr>
              <w:jc w:val="center"/>
              <w:rPr>
                <w:rFonts w:ascii="宋体" w:hAnsi="宋体" w:cs="宋体"/>
                <w:sz w:val="18"/>
                <w:szCs w:val="18"/>
              </w:rPr>
            </w:pPr>
            <w:r w:rsidRPr="00375D93">
              <w:rPr>
                <w:rFonts w:hint="eastAsia"/>
                <w:sz w:val="18"/>
                <w:szCs w:val="18"/>
              </w:rPr>
              <w:t>添富价值</w:t>
            </w:r>
          </w:p>
        </w:tc>
        <w:tc>
          <w:tcPr>
            <w:tcW w:w="486" w:type="pct"/>
            <w:tcBorders>
              <w:top w:val="nil"/>
              <w:left w:val="nil"/>
              <w:bottom w:val="single" w:sz="4" w:space="0" w:color="auto"/>
              <w:right w:val="single" w:sz="4" w:space="0" w:color="auto"/>
            </w:tcBorders>
            <w:shd w:val="clear" w:color="auto" w:fill="auto"/>
            <w:noWrap/>
            <w:vAlign w:val="bottom"/>
          </w:tcPr>
          <w:p w:rsidR="001E3B52" w:rsidRPr="005B5148" w:rsidRDefault="001E3B52" w:rsidP="00A422E1">
            <w:pPr>
              <w:widowControl/>
              <w:jc w:val="center"/>
              <w:rPr>
                <w:rFonts w:ascii="宋体" w:hAnsi="宋体" w:cs="宋体"/>
                <w:kern w:val="0"/>
                <w:sz w:val="18"/>
                <w:szCs w:val="18"/>
              </w:rPr>
            </w:pPr>
            <w:r>
              <w:rPr>
                <w:rFonts w:ascii="宋体" w:hAnsi="宋体" w:cs="宋体" w:hint="eastAsia"/>
                <w:kern w:val="0"/>
                <w:sz w:val="18"/>
                <w:szCs w:val="18"/>
              </w:rPr>
              <w:t>40</w:t>
            </w:r>
            <w:r w:rsidRPr="005B5148">
              <w:rPr>
                <w:rFonts w:ascii="宋体" w:hAnsi="宋体" w:cs="宋体" w:hint="eastAsia"/>
                <w:kern w:val="0"/>
                <w:sz w:val="18"/>
                <w:szCs w:val="18"/>
              </w:rPr>
              <w:t>%</w:t>
            </w:r>
          </w:p>
        </w:tc>
        <w:tc>
          <w:tcPr>
            <w:tcW w:w="382" w:type="pct"/>
            <w:vMerge/>
            <w:tcBorders>
              <w:top w:val="single" w:sz="4" w:space="0" w:color="auto"/>
              <w:left w:val="single" w:sz="4" w:space="0" w:color="auto"/>
              <w:bottom w:val="single" w:sz="4" w:space="0" w:color="000000"/>
              <w:right w:val="single" w:sz="4" w:space="0" w:color="auto"/>
            </w:tcBorders>
            <w:vAlign w:val="center"/>
          </w:tcPr>
          <w:p w:rsidR="001E3B52" w:rsidRPr="005B5148" w:rsidRDefault="001E3B52" w:rsidP="00A422E1">
            <w:pPr>
              <w:widowControl/>
              <w:jc w:val="left"/>
              <w:rPr>
                <w:rFonts w:ascii="宋体" w:hAnsi="宋体" w:cs="宋体"/>
                <w:kern w:val="0"/>
                <w:sz w:val="18"/>
                <w:szCs w:val="18"/>
              </w:rPr>
            </w:pPr>
          </w:p>
        </w:tc>
        <w:tc>
          <w:tcPr>
            <w:tcW w:w="935" w:type="pct"/>
            <w:tcBorders>
              <w:top w:val="nil"/>
              <w:left w:val="nil"/>
              <w:bottom w:val="single" w:sz="4" w:space="0" w:color="auto"/>
              <w:right w:val="single" w:sz="4" w:space="0" w:color="auto"/>
            </w:tcBorders>
            <w:shd w:val="clear" w:color="auto" w:fill="auto"/>
            <w:noWrap/>
            <w:vAlign w:val="bottom"/>
          </w:tcPr>
          <w:p w:rsidR="001E3B52" w:rsidRPr="00E86A04" w:rsidRDefault="001E3B52" w:rsidP="00A422E1">
            <w:pPr>
              <w:widowControl/>
              <w:jc w:val="center"/>
              <w:rPr>
                <w:rFonts w:ascii="宋体" w:hAnsi="宋体" w:cs="宋体"/>
                <w:kern w:val="0"/>
                <w:sz w:val="18"/>
                <w:szCs w:val="18"/>
              </w:rPr>
            </w:pPr>
            <w:r w:rsidRPr="00E86A04">
              <w:rPr>
                <w:rFonts w:ascii="宋体" w:hAnsi="宋体" w:cs="宋体" w:hint="eastAsia"/>
                <w:kern w:val="0"/>
                <w:sz w:val="18"/>
                <w:szCs w:val="18"/>
              </w:rPr>
              <w:t>添富价值</w:t>
            </w:r>
          </w:p>
        </w:tc>
        <w:tc>
          <w:tcPr>
            <w:tcW w:w="486" w:type="pct"/>
            <w:tcBorders>
              <w:top w:val="nil"/>
              <w:left w:val="nil"/>
              <w:bottom w:val="single" w:sz="4" w:space="0" w:color="auto"/>
              <w:right w:val="single" w:sz="4" w:space="0" w:color="auto"/>
            </w:tcBorders>
            <w:shd w:val="clear" w:color="auto" w:fill="auto"/>
            <w:noWrap/>
            <w:vAlign w:val="bottom"/>
          </w:tcPr>
          <w:p w:rsidR="001E3B52" w:rsidRPr="005B5148" w:rsidRDefault="001E3B52" w:rsidP="00A422E1">
            <w:pPr>
              <w:widowControl/>
              <w:jc w:val="center"/>
              <w:rPr>
                <w:rFonts w:ascii="宋体" w:hAnsi="宋体" w:cs="宋体"/>
                <w:kern w:val="0"/>
                <w:sz w:val="18"/>
                <w:szCs w:val="18"/>
              </w:rPr>
            </w:pPr>
            <w:r w:rsidRPr="005B5148">
              <w:rPr>
                <w:rFonts w:ascii="宋体" w:hAnsi="宋体" w:cs="宋体" w:hint="eastAsia"/>
                <w:kern w:val="0"/>
                <w:sz w:val="18"/>
                <w:szCs w:val="18"/>
              </w:rPr>
              <w:t>25%</w:t>
            </w:r>
          </w:p>
        </w:tc>
        <w:tc>
          <w:tcPr>
            <w:tcW w:w="355" w:type="pct"/>
            <w:vMerge/>
            <w:tcBorders>
              <w:top w:val="single" w:sz="4" w:space="0" w:color="auto"/>
              <w:left w:val="single" w:sz="4" w:space="0" w:color="auto"/>
              <w:bottom w:val="single" w:sz="4" w:space="0" w:color="000000"/>
              <w:right w:val="single" w:sz="4" w:space="0" w:color="auto"/>
            </w:tcBorders>
            <w:vAlign w:val="center"/>
          </w:tcPr>
          <w:p w:rsidR="001E3B52" w:rsidRPr="005B5148" w:rsidRDefault="001E3B52" w:rsidP="00A422E1">
            <w:pPr>
              <w:widowControl/>
              <w:jc w:val="left"/>
              <w:rPr>
                <w:rFonts w:ascii="宋体" w:hAnsi="宋体" w:cs="宋体"/>
                <w:kern w:val="0"/>
                <w:sz w:val="18"/>
                <w:szCs w:val="18"/>
              </w:rPr>
            </w:pPr>
          </w:p>
        </w:tc>
        <w:tc>
          <w:tcPr>
            <w:tcW w:w="986" w:type="pct"/>
            <w:tcBorders>
              <w:top w:val="nil"/>
              <w:left w:val="nil"/>
              <w:bottom w:val="single" w:sz="4" w:space="0" w:color="auto"/>
              <w:right w:val="single" w:sz="4" w:space="0" w:color="auto"/>
            </w:tcBorders>
            <w:shd w:val="clear" w:color="auto" w:fill="auto"/>
            <w:noWrap/>
            <w:vAlign w:val="bottom"/>
          </w:tcPr>
          <w:p w:rsidR="001E3B52" w:rsidRPr="005B5148" w:rsidRDefault="001E3B52" w:rsidP="00A422E1">
            <w:pPr>
              <w:widowControl/>
              <w:jc w:val="center"/>
              <w:rPr>
                <w:rFonts w:ascii="宋体" w:hAnsi="宋体" w:cs="宋体"/>
                <w:kern w:val="0"/>
                <w:sz w:val="18"/>
                <w:szCs w:val="18"/>
              </w:rPr>
            </w:pPr>
            <w:r>
              <w:rPr>
                <w:rFonts w:ascii="宋体" w:hAnsi="宋体" w:cs="宋体" w:hint="eastAsia"/>
                <w:kern w:val="0"/>
                <w:sz w:val="18"/>
                <w:szCs w:val="18"/>
              </w:rPr>
              <w:t>华夏现金</w:t>
            </w:r>
          </w:p>
        </w:tc>
        <w:tc>
          <w:tcPr>
            <w:tcW w:w="435" w:type="pct"/>
            <w:tcBorders>
              <w:top w:val="nil"/>
              <w:left w:val="nil"/>
              <w:bottom w:val="single" w:sz="4" w:space="0" w:color="auto"/>
              <w:right w:val="single" w:sz="4" w:space="0" w:color="auto"/>
            </w:tcBorders>
            <w:shd w:val="clear" w:color="auto" w:fill="auto"/>
            <w:noWrap/>
            <w:vAlign w:val="bottom"/>
          </w:tcPr>
          <w:p w:rsidR="001E3B52" w:rsidRPr="005B5148" w:rsidRDefault="001E3B52" w:rsidP="00A422E1">
            <w:pPr>
              <w:widowControl/>
              <w:jc w:val="center"/>
              <w:rPr>
                <w:rFonts w:ascii="宋体" w:hAnsi="宋体" w:cs="宋体"/>
                <w:kern w:val="0"/>
                <w:sz w:val="18"/>
                <w:szCs w:val="18"/>
              </w:rPr>
            </w:pPr>
            <w:r w:rsidRPr="005B5148">
              <w:rPr>
                <w:rFonts w:ascii="宋体" w:hAnsi="宋体" w:cs="宋体" w:hint="eastAsia"/>
                <w:kern w:val="0"/>
                <w:sz w:val="18"/>
                <w:szCs w:val="18"/>
              </w:rPr>
              <w:t>35%</w:t>
            </w:r>
          </w:p>
        </w:tc>
      </w:tr>
      <w:tr w:rsidR="001E3B52" w:rsidRPr="005B5148" w:rsidTr="00A422E1">
        <w:trPr>
          <w:trHeight w:val="285"/>
          <w:jc w:val="center"/>
        </w:trPr>
        <w:tc>
          <w:tcPr>
            <w:tcW w:w="935" w:type="pct"/>
            <w:tcBorders>
              <w:top w:val="nil"/>
              <w:left w:val="single" w:sz="4" w:space="0" w:color="auto"/>
              <w:bottom w:val="single" w:sz="4" w:space="0" w:color="auto"/>
              <w:right w:val="single" w:sz="4" w:space="0" w:color="auto"/>
            </w:tcBorders>
            <w:shd w:val="clear" w:color="auto" w:fill="auto"/>
            <w:noWrap/>
            <w:vAlign w:val="bottom"/>
          </w:tcPr>
          <w:p w:rsidR="001E3B52" w:rsidRPr="005B5148" w:rsidRDefault="001E3B52" w:rsidP="00A422E1">
            <w:pPr>
              <w:jc w:val="center"/>
              <w:rPr>
                <w:rFonts w:ascii="宋体" w:hAnsi="宋体" w:cs="宋体"/>
                <w:kern w:val="0"/>
                <w:sz w:val="18"/>
                <w:szCs w:val="18"/>
              </w:rPr>
            </w:pPr>
            <w:r>
              <w:rPr>
                <w:rFonts w:hint="eastAsia"/>
                <w:sz w:val="18"/>
                <w:szCs w:val="18"/>
              </w:rPr>
              <w:t>国泰纳斯达克</w:t>
            </w:r>
            <w:r>
              <w:rPr>
                <w:rFonts w:hint="eastAsia"/>
                <w:sz w:val="18"/>
                <w:szCs w:val="18"/>
              </w:rPr>
              <w:t>100</w:t>
            </w:r>
          </w:p>
        </w:tc>
        <w:tc>
          <w:tcPr>
            <w:tcW w:w="486" w:type="pct"/>
            <w:tcBorders>
              <w:top w:val="nil"/>
              <w:left w:val="nil"/>
              <w:bottom w:val="single" w:sz="4" w:space="0" w:color="auto"/>
              <w:right w:val="single" w:sz="4" w:space="0" w:color="auto"/>
            </w:tcBorders>
            <w:shd w:val="clear" w:color="auto" w:fill="auto"/>
            <w:noWrap/>
            <w:vAlign w:val="bottom"/>
          </w:tcPr>
          <w:p w:rsidR="001E3B52" w:rsidRPr="005B5148" w:rsidRDefault="001E3B52" w:rsidP="00A422E1">
            <w:pPr>
              <w:widowControl/>
              <w:jc w:val="center"/>
              <w:rPr>
                <w:rFonts w:ascii="宋体" w:hAnsi="宋体" w:cs="宋体"/>
                <w:kern w:val="0"/>
                <w:sz w:val="18"/>
                <w:szCs w:val="18"/>
              </w:rPr>
            </w:pPr>
            <w:r>
              <w:rPr>
                <w:rFonts w:ascii="宋体" w:hAnsi="宋体" w:cs="宋体" w:hint="eastAsia"/>
                <w:kern w:val="0"/>
                <w:sz w:val="18"/>
                <w:szCs w:val="18"/>
              </w:rPr>
              <w:t>30</w:t>
            </w:r>
            <w:r w:rsidRPr="005B5148">
              <w:rPr>
                <w:rFonts w:ascii="宋体" w:hAnsi="宋体" w:cs="宋体" w:hint="eastAsia"/>
                <w:kern w:val="0"/>
                <w:sz w:val="18"/>
                <w:szCs w:val="18"/>
              </w:rPr>
              <w:t>%</w:t>
            </w:r>
          </w:p>
        </w:tc>
        <w:tc>
          <w:tcPr>
            <w:tcW w:w="382" w:type="pct"/>
            <w:vMerge/>
            <w:tcBorders>
              <w:top w:val="single" w:sz="4" w:space="0" w:color="auto"/>
              <w:left w:val="single" w:sz="4" w:space="0" w:color="auto"/>
              <w:bottom w:val="single" w:sz="4" w:space="0" w:color="000000"/>
              <w:right w:val="single" w:sz="4" w:space="0" w:color="auto"/>
            </w:tcBorders>
            <w:vAlign w:val="center"/>
          </w:tcPr>
          <w:p w:rsidR="001E3B52" w:rsidRPr="005B5148" w:rsidRDefault="001E3B52" w:rsidP="00A422E1">
            <w:pPr>
              <w:widowControl/>
              <w:jc w:val="left"/>
              <w:rPr>
                <w:rFonts w:ascii="宋体" w:hAnsi="宋体" w:cs="宋体"/>
                <w:kern w:val="0"/>
                <w:sz w:val="18"/>
                <w:szCs w:val="18"/>
              </w:rPr>
            </w:pPr>
          </w:p>
        </w:tc>
        <w:tc>
          <w:tcPr>
            <w:tcW w:w="935" w:type="pct"/>
            <w:tcBorders>
              <w:top w:val="nil"/>
              <w:left w:val="nil"/>
              <w:bottom w:val="single" w:sz="4" w:space="0" w:color="auto"/>
              <w:right w:val="single" w:sz="4" w:space="0" w:color="auto"/>
            </w:tcBorders>
            <w:shd w:val="clear" w:color="auto" w:fill="auto"/>
            <w:noWrap/>
            <w:vAlign w:val="bottom"/>
          </w:tcPr>
          <w:p w:rsidR="001E3B52" w:rsidRPr="00E86A04" w:rsidRDefault="001E3B52" w:rsidP="00A422E1">
            <w:pPr>
              <w:widowControl/>
              <w:jc w:val="center"/>
              <w:rPr>
                <w:rFonts w:ascii="宋体" w:hAnsi="宋体" w:cs="宋体"/>
                <w:kern w:val="0"/>
                <w:sz w:val="18"/>
                <w:szCs w:val="18"/>
              </w:rPr>
            </w:pPr>
            <w:r>
              <w:rPr>
                <w:rFonts w:ascii="宋体" w:hAnsi="宋体" w:cs="宋体" w:hint="eastAsia"/>
                <w:kern w:val="0"/>
                <w:sz w:val="18"/>
                <w:szCs w:val="18"/>
              </w:rPr>
              <w:t>天弘永利B</w:t>
            </w:r>
          </w:p>
        </w:tc>
        <w:tc>
          <w:tcPr>
            <w:tcW w:w="486" w:type="pct"/>
            <w:tcBorders>
              <w:top w:val="nil"/>
              <w:left w:val="nil"/>
              <w:bottom w:val="single" w:sz="4" w:space="0" w:color="auto"/>
              <w:right w:val="single" w:sz="4" w:space="0" w:color="auto"/>
            </w:tcBorders>
            <w:shd w:val="clear" w:color="auto" w:fill="auto"/>
            <w:noWrap/>
            <w:vAlign w:val="bottom"/>
          </w:tcPr>
          <w:p w:rsidR="001E3B52" w:rsidRPr="005B5148" w:rsidRDefault="001E3B52" w:rsidP="00A422E1">
            <w:pPr>
              <w:widowControl/>
              <w:jc w:val="center"/>
              <w:rPr>
                <w:rFonts w:ascii="宋体" w:hAnsi="宋体" w:cs="宋体"/>
                <w:kern w:val="0"/>
                <w:sz w:val="18"/>
                <w:szCs w:val="18"/>
              </w:rPr>
            </w:pPr>
            <w:r>
              <w:rPr>
                <w:rFonts w:ascii="宋体" w:hAnsi="宋体" w:cs="宋体" w:hint="eastAsia"/>
                <w:kern w:val="0"/>
                <w:sz w:val="18"/>
                <w:szCs w:val="18"/>
              </w:rPr>
              <w:t>5</w:t>
            </w:r>
            <w:r w:rsidRPr="005B5148">
              <w:rPr>
                <w:rFonts w:ascii="宋体" w:hAnsi="宋体" w:cs="宋体" w:hint="eastAsia"/>
                <w:kern w:val="0"/>
                <w:sz w:val="18"/>
                <w:szCs w:val="18"/>
              </w:rPr>
              <w:t>0%</w:t>
            </w:r>
          </w:p>
        </w:tc>
        <w:tc>
          <w:tcPr>
            <w:tcW w:w="355" w:type="pct"/>
            <w:vMerge/>
            <w:tcBorders>
              <w:top w:val="single" w:sz="4" w:space="0" w:color="auto"/>
              <w:left w:val="single" w:sz="4" w:space="0" w:color="auto"/>
              <w:bottom w:val="single" w:sz="4" w:space="0" w:color="000000"/>
              <w:right w:val="single" w:sz="4" w:space="0" w:color="auto"/>
            </w:tcBorders>
            <w:vAlign w:val="center"/>
          </w:tcPr>
          <w:p w:rsidR="001E3B52" w:rsidRPr="005B5148" w:rsidRDefault="001E3B52" w:rsidP="00A422E1">
            <w:pPr>
              <w:widowControl/>
              <w:jc w:val="left"/>
              <w:rPr>
                <w:rFonts w:ascii="宋体" w:hAnsi="宋体" w:cs="宋体"/>
                <w:kern w:val="0"/>
                <w:sz w:val="18"/>
                <w:szCs w:val="18"/>
              </w:rPr>
            </w:pPr>
          </w:p>
        </w:tc>
        <w:tc>
          <w:tcPr>
            <w:tcW w:w="986" w:type="pct"/>
            <w:tcBorders>
              <w:top w:val="nil"/>
              <w:left w:val="nil"/>
              <w:bottom w:val="single" w:sz="4" w:space="0" w:color="auto"/>
              <w:right w:val="single" w:sz="4" w:space="0" w:color="auto"/>
            </w:tcBorders>
            <w:shd w:val="clear" w:color="auto" w:fill="auto"/>
            <w:noWrap/>
            <w:vAlign w:val="bottom"/>
          </w:tcPr>
          <w:p w:rsidR="001E3B52" w:rsidRPr="0017543C" w:rsidRDefault="001E3B52" w:rsidP="00A422E1">
            <w:pPr>
              <w:widowControl/>
              <w:jc w:val="center"/>
              <w:rPr>
                <w:rFonts w:ascii="宋体" w:hAnsi="宋体" w:cs="宋体"/>
                <w:kern w:val="0"/>
                <w:sz w:val="18"/>
                <w:szCs w:val="18"/>
              </w:rPr>
            </w:pPr>
            <w:r>
              <w:rPr>
                <w:rFonts w:ascii="宋体" w:hAnsi="宋体" w:cs="宋体" w:hint="eastAsia"/>
                <w:kern w:val="0"/>
                <w:sz w:val="18"/>
                <w:szCs w:val="18"/>
              </w:rPr>
              <w:t>广发货币B</w:t>
            </w:r>
          </w:p>
        </w:tc>
        <w:tc>
          <w:tcPr>
            <w:tcW w:w="435" w:type="pct"/>
            <w:tcBorders>
              <w:top w:val="nil"/>
              <w:left w:val="nil"/>
              <w:bottom w:val="single" w:sz="4" w:space="0" w:color="auto"/>
              <w:right w:val="single" w:sz="4" w:space="0" w:color="auto"/>
            </w:tcBorders>
            <w:shd w:val="clear" w:color="auto" w:fill="auto"/>
            <w:noWrap/>
            <w:vAlign w:val="bottom"/>
          </w:tcPr>
          <w:p w:rsidR="001E3B52" w:rsidRPr="005B5148" w:rsidRDefault="001E3B52" w:rsidP="00A422E1">
            <w:pPr>
              <w:widowControl/>
              <w:jc w:val="center"/>
              <w:rPr>
                <w:rFonts w:ascii="宋体" w:hAnsi="宋体" w:cs="宋体"/>
                <w:kern w:val="0"/>
                <w:sz w:val="18"/>
                <w:szCs w:val="18"/>
              </w:rPr>
            </w:pPr>
            <w:r w:rsidRPr="005B5148">
              <w:rPr>
                <w:rFonts w:ascii="宋体" w:hAnsi="宋体" w:cs="宋体" w:hint="eastAsia"/>
                <w:kern w:val="0"/>
                <w:sz w:val="18"/>
                <w:szCs w:val="18"/>
              </w:rPr>
              <w:t>3</w:t>
            </w:r>
            <w:r>
              <w:rPr>
                <w:rFonts w:ascii="宋体" w:hAnsi="宋体" w:cs="宋体" w:hint="eastAsia"/>
                <w:kern w:val="0"/>
                <w:sz w:val="18"/>
                <w:szCs w:val="18"/>
              </w:rPr>
              <w:t>5</w:t>
            </w:r>
            <w:r w:rsidRPr="005B5148">
              <w:rPr>
                <w:rFonts w:ascii="宋体" w:hAnsi="宋体" w:cs="宋体" w:hint="eastAsia"/>
                <w:kern w:val="0"/>
                <w:sz w:val="18"/>
                <w:szCs w:val="18"/>
              </w:rPr>
              <w:t>%</w:t>
            </w:r>
          </w:p>
        </w:tc>
      </w:tr>
    </w:tbl>
    <w:p w:rsidR="001E3B52" w:rsidRDefault="001E3B52" w:rsidP="00564B59">
      <w:pPr>
        <w:rPr>
          <w:rFonts w:ascii="楷体_GB2312" w:eastAsia="楷体_GB2312"/>
          <w:noProof/>
          <w:color w:val="000000"/>
        </w:rPr>
      </w:pPr>
      <w:r w:rsidRPr="00156066">
        <w:rPr>
          <w:rFonts w:ascii="楷体_GB2312" w:eastAsia="楷体_GB2312" w:hint="eastAsia"/>
          <w:noProof/>
          <w:color w:val="000000"/>
        </w:rPr>
        <w:t>来源：上海证券基金评价研究中心</w:t>
      </w:r>
    </w:p>
    <w:p w:rsidR="00141178" w:rsidRPr="00144B03" w:rsidRDefault="00141178" w:rsidP="00141178">
      <w:pPr>
        <w:spacing w:line="360" w:lineRule="auto"/>
        <w:jc w:val="center"/>
        <w:rPr>
          <w:rFonts w:ascii="楷体_GB2312" w:eastAsia="楷体_GB2312"/>
          <w:b/>
          <w:color w:val="000000"/>
          <w:sz w:val="18"/>
          <w:szCs w:val="18"/>
        </w:rPr>
      </w:pPr>
      <w:r w:rsidRPr="00144B03">
        <w:rPr>
          <w:rFonts w:ascii="楷体_GB2312" w:eastAsia="楷体_GB2312" w:hint="eastAsia"/>
          <w:b/>
          <w:color w:val="000000"/>
          <w:sz w:val="18"/>
          <w:szCs w:val="18"/>
        </w:rPr>
        <w:t>表2推荐基金基本情况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0"/>
        <w:gridCol w:w="756"/>
        <w:gridCol w:w="936"/>
        <w:gridCol w:w="849"/>
        <w:gridCol w:w="1903"/>
        <w:gridCol w:w="1903"/>
      </w:tblGrid>
      <w:tr w:rsidR="00050159" w:rsidRPr="002072D1" w:rsidTr="00B56956">
        <w:trPr>
          <w:trHeight w:val="397"/>
          <w:tblHeader/>
          <w:jc w:val="center"/>
        </w:trPr>
        <w:tc>
          <w:tcPr>
            <w:tcW w:w="0" w:type="auto"/>
            <w:shd w:val="clear" w:color="auto" w:fill="0000FF"/>
            <w:noWrap/>
            <w:vAlign w:val="center"/>
          </w:tcPr>
          <w:p w:rsidR="00050159" w:rsidRPr="00604445" w:rsidRDefault="00050159" w:rsidP="00A422E1">
            <w:pPr>
              <w:keepLines/>
              <w:adjustRightInd w:val="0"/>
              <w:snapToGrid w:val="0"/>
              <w:jc w:val="center"/>
              <w:rPr>
                <w:rFonts w:ascii="楷体_GB2312" w:eastAsia="楷体_GB2312" w:hAnsi="宋体" w:cs="宋体"/>
                <w:b/>
                <w:bCs/>
                <w:color w:val="FFFFFF"/>
                <w:kern w:val="0"/>
                <w:szCs w:val="21"/>
              </w:rPr>
            </w:pPr>
            <w:bookmarkStart w:id="0" w:name="_Toc271023583"/>
            <w:r>
              <w:rPr>
                <w:rFonts w:ascii="楷体_GB2312" w:eastAsia="楷体_GB2312" w:hAnsi="宋体" w:cs="宋体" w:hint="eastAsia"/>
                <w:b/>
                <w:bCs/>
                <w:color w:val="FFFFFF"/>
                <w:kern w:val="0"/>
                <w:szCs w:val="21"/>
              </w:rPr>
              <w:t>基金名称</w:t>
            </w:r>
          </w:p>
        </w:tc>
        <w:tc>
          <w:tcPr>
            <w:tcW w:w="0" w:type="auto"/>
            <w:shd w:val="clear" w:color="auto" w:fill="0000FF"/>
            <w:vAlign w:val="center"/>
          </w:tcPr>
          <w:p w:rsidR="00050159" w:rsidRPr="00604445" w:rsidRDefault="00050159" w:rsidP="00A422E1">
            <w:pPr>
              <w:keepLines/>
              <w:adjustRightInd w:val="0"/>
              <w:snapToGrid w:val="0"/>
              <w:jc w:val="center"/>
              <w:rPr>
                <w:rFonts w:ascii="楷体_GB2312" w:eastAsia="楷体_GB2312" w:hAnsi="宋体" w:cs="宋体"/>
                <w:b/>
                <w:bCs/>
                <w:color w:val="FFFFFF"/>
                <w:kern w:val="0"/>
                <w:szCs w:val="21"/>
              </w:rPr>
            </w:pPr>
            <w:r>
              <w:rPr>
                <w:rFonts w:ascii="楷体_GB2312" w:eastAsia="楷体_GB2312" w:hAnsi="宋体" w:cs="宋体" w:hint="eastAsia"/>
                <w:b/>
                <w:bCs/>
                <w:color w:val="FFFFFF"/>
                <w:kern w:val="0"/>
                <w:szCs w:val="21"/>
              </w:rPr>
              <w:t>代码</w:t>
            </w:r>
          </w:p>
        </w:tc>
        <w:tc>
          <w:tcPr>
            <w:tcW w:w="0" w:type="auto"/>
            <w:shd w:val="clear" w:color="auto" w:fill="0000FF"/>
            <w:vAlign w:val="center"/>
          </w:tcPr>
          <w:p w:rsidR="00050159" w:rsidRPr="00604445" w:rsidRDefault="00050159" w:rsidP="00A422E1">
            <w:pPr>
              <w:keepLines/>
              <w:adjustRightInd w:val="0"/>
              <w:snapToGrid w:val="0"/>
              <w:jc w:val="center"/>
              <w:rPr>
                <w:rFonts w:ascii="楷体_GB2312" w:eastAsia="楷体_GB2312" w:hAnsi="宋体" w:cs="宋体"/>
                <w:b/>
                <w:bCs/>
                <w:color w:val="FFFFFF"/>
                <w:kern w:val="0"/>
                <w:szCs w:val="21"/>
              </w:rPr>
            </w:pPr>
            <w:r w:rsidRPr="00604445">
              <w:rPr>
                <w:rFonts w:ascii="楷体_GB2312" w:eastAsia="楷体_GB2312" w:hAnsi="宋体" w:cs="宋体" w:hint="eastAsia"/>
                <w:b/>
                <w:bCs/>
                <w:color w:val="FFFFFF"/>
                <w:kern w:val="0"/>
                <w:szCs w:val="21"/>
              </w:rPr>
              <w:t>类型</w:t>
            </w:r>
          </w:p>
        </w:tc>
        <w:tc>
          <w:tcPr>
            <w:tcW w:w="0" w:type="auto"/>
            <w:shd w:val="clear" w:color="auto" w:fill="0000FF"/>
            <w:vAlign w:val="center"/>
          </w:tcPr>
          <w:p w:rsidR="00050159" w:rsidRPr="00604445" w:rsidRDefault="00050159" w:rsidP="00A422E1">
            <w:pPr>
              <w:keepLines/>
              <w:adjustRightInd w:val="0"/>
              <w:snapToGrid w:val="0"/>
              <w:jc w:val="center"/>
              <w:rPr>
                <w:rFonts w:ascii="楷体_GB2312" w:eastAsia="楷体_GB2312" w:hAnsi="宋体" w:cs="宋体"/>
                <w:b/>
                <w:bCs/>
                <w:color w:val="FFFFFF"/>
                <w:kern w:val="0"/>
                <w:szCs w:val="21"/>
              </w:rPr>
            </w:pPr>
            <w:r w:rsidRPr="00604445">
              <w:rPr>
                <w:rFonts w:ascii="楷体_GB2312" w:eastAsia="楷体_GB2312" w:hAnsi="宋体" w:cs="宋体" w:hint="eastAsia"/>
                <w:b/>
                <w:bCs/>
                <w:color w:val="FFFFFF"/>
                <w:kern w:val="0"/>
                <w:szCs w:val="21"/>
              </w:rPr>
              <w:t>管理人</w:t>
            </w:r>
          </w:p>
        </w:tc>
        <w:tc>
          <w:tcPr>
            <w:tcW w:w="0" w:type="auto"/>
            <w:shd w:val="clear" w:color="auto" w:fill="0000FF"/>
            <w:vAlign w:val="center"/>
          </w:tcPr>
          <w:p w:rsidR="00050159" w:rsidRPr="00604445" w:rsidRDefault="00050159" w:rsidP="00A422E1">
            <w:pPr>
              <w:keepLines/>
              <w:adjustRightInd w:val="0"/>
              <w:snapToGrid w:val="0"/>
              <w:jc w:val="center"/>
              <w:rPr>
                <w:rFonts w:ascii="楷体_GB2312" w:eastAsia="楷体_GB2312" w:hAnsi="宋体" w:cs="宋体"/>
                <w:b/>
                <w:bCs/>
                <w:color w:val="FFFFFF"/>
                <w:kern w:val="0"/>
                <w:szCs w:val="21"/>
              </w:rPr>
            </w:pPr>
            <w:r w:rsidRPr="00604445">
              <w:rPr>
                <w:rFonts w:ascii="楷体_GB2312" w:eastAsia="楷体_GB2312" w:hAnsi="宋体" w:cs="宋体" w:hint="eastAsia"/>
                <w:b/>
                <w:bCs/>
                <w:color w:val="FFFFFF"/>
                <w:kern w:val="0"/>
                <w:szCs w:val="21"/>
              </w:rPr>
              <w:t>上证</w:t>
            </w:r>
            <w:r>
              <w:rPr>
                <w:rFonts w:ascii="楷体_GB2312" w:eastAsia="楷体_GB2312" w:hAnsi="宋体" w:cs="宋体" w:hint="eastAsia"/>
                <w:b/>
                <w:bCs/>
                <w:color w:val="FFFFFF"/>
                <w:kern w:val="0"/>
                <w:szCs w:val="21"/>
              </w:rPr>
              <w:t>三年</w:t>
            </w:r>
            <w:r w:rsidRPr="00604445">
              <w:rPr>
                <w:rFonts w:ascii="楷体_GB2312" w:eastAsia="楷体_GB2312" w:hAnsi="宋体" w:cs="宋体" w:hint="eastAsia"/>
                <w:b/>
                <w:bCs/>
                <w:color w:val="FFFFFF"/>
                <w:kern w:val="0"/>
                <w:szCs w:val="21"/>
              </w:rPr>
              <w:t>综合评级</w:t>
            </w:r>
          </w:p>
        </w:tc>
        <w:tc>
          <w:tcPr>
            <w:tcW w:w="0" w:type="auto"/>
            <w:shd w:val="clear" w:color="auto" w:fill="0000FF"/>
            <w:vAlign w:val="center"/>
          </w:tcPr>
          <w:p w:rsidR="00050159" w:rsidRPr="00604445" w:rsidRDefault="00050159" w:rsidP="00A422E1">
            <w:pPr>
              <w:keepLines/>
              <w:adjustRightInd w:val="0"/>
              <w:snapToGrid w:val="0"/>
              <w:jc w:val="center"/>
              <w:rPr>
                <w:rFonts w:ascii="楷体_GB2312" w:eastAsia="楷体_GB2312" w:hAnsi="宋体" w:cs="宋体"/>
                <w:b/>
                <w:bCs/>
                <w:color w:val="FFFFFF"/>
                <w:kern w:val="0"/>
                <w:szCs w:val="21"/>
              </w:rPr>
            </w:pPr>
            <w:r w:rsidRPr="00604445">
              <w:rPr>
                <w:rFonts w:ascii="楷体_GB2312" w:eastAsia="楷体_GB2312" w:hAnsi="宋体" w:cs="宋体" w:hint="eastAsia"/>
                <w:b/>
                <w:bCs/>
                <w:color w:val="FFFFFF"/>
                <w:kern w:val="0"/>
                <w:szCs w:val="21"/>
              </w:rPr>
              <w:t>上证</w:t>
            </w:r>
            <w:r>
              <w:rPr>
                <w:rFonts w:ascii="楷体_GB2312" w:eastAsia="楷体_GB2312" w:hAnsi="宋体" w:cs="宋体" w:hint="eastAsia"/>
                <w:b/>
                <w:bCs/>
                <w:color w:val="FFFFFF"/>
                <w:kern w:val="0"/>
                <w:szCs w:val="21"/>
              </w:rPr>
              <w:t>三年选证</w:t>
            </w:r>
            <w:r w:rsidRPr="00604445">
              <w:rPr>
                <w:rFonts w:ascii="楷体_GB2312" w:eastAsia="楷体_GB2312" w:hAnsi="宋体" w:cs="宋体" w:hint="eastAsia"/>
                <w:b/>
                <w:bCs/>
                <w:color w:val="FFFFFF"/>
                <w:kern w:val="0"/>
                <w:szCs w:val="21"/>
              </w:rPr>
              <w:t>评级</w:t>
            </w:r>
          </w:p>
        </w:tc>
      </w:tr>
      <w:tr w:rsidR="00050159" w:rsidRPr="002072D1" w:rsidTr="00B56956">
        <w:trPr>
          <w:trHeight w:val="397"/>
          <w:jc w:val="center"/>
        </w:trPr>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b/>
                <w:bCs/>
                <w:color w:val="0D0D0D"/>
                <w:kern w:val="0"/>
                <w:sz w:val="18"/>
                <w:szCs w:val="18"/>
              </w:rPr>
            </w:pPr>
            <w:r>
              <w:rPr>
                <w:rFonts w:ascii="楷体_GB2312" w:eastAsia="楷体_GB2312" w:hAnsi="宋体" w:cs="宋体" w:hint="eastAsia"/>
                <w:b/>
                <w:bCs/>
                <w:color w:val="0D0D0D"/>
                <w:kern w:val="0"/>
                <w:sz w:val="18"/>
                <w:szCs w:val="18"/>
              </w:rPr>
              <w:t>银河成长</w:t>
            </w:r>
          </w:p>
        </w:tc>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sidRPr="008261FB">
              <w:rPr>
                <w:rFonts w:ascii="楷体_GB2312" w:eastAsia="楷体_GB2312" w:hAnsi="宋体" w:cs="宋体"/>
                <w:color w:val="0D0D0D"/>
                <w:kern w:val="0"/>
                <w:sz w:val="18"/>
                <w:szCs w:val="18"/>
              </w:rPr>
              <w:t>519668</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股票型</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银河</w:t>
            </w:r>
          </w:p>
        </w:tc>
        <w:tc>
          <w:tcPr>
            <w:tcW w:w="0" w:type="auto"/>
            <w:shd w:val="clear" w:color="auto" w:fill="auto"/>
            <w:vAlign w:val="center"/>
          </w:tcPr>
          <w:p w:rsidR="00050159" w:rsidRPr="0033677C" w:rsidRDefault="00050159" w:rsidP="00A422E1">
            <w:pPr>
              <w:keepLines/>
              <w:adjustRightInd w:val="0"/>
              <w:snapToGrid w:val="0"/>
              <w:jc w:val="center"/>
              <w:rPr>
                <w:rFonts w:ascii="楷体_GB2312" w:eastAsia="楷体_GB2312" w:hAnsi="宋体" w:cs="宋体"/>
                <w:color w:val="000000"/>
                <w:kern w:val="0"/>
                <w:sz w:val="18"/>
                <w:szCs w:val="18"/>
              </w:rPr>
            </w:pPr>
            <w:r>
              <w:rPr>
                <w:rFonts w:ascii="楷体_GB2312" w:eastAsia="楷体_GB2312" w:hAnsi="宋体" w:cs="宋体" w:hint="eastAsia"/>
                <w:color w:val="FF0000"/>
                <w:kern w:val="0"/>
                <w:sz w:val="18"/>
                <w:szCs w:val="18"/>
              </w:rPr>
              <w:t>★★★</w:t>
            </w:r>
            <w:r w:rsidRPr="004B0A06">
              <w:rPr>
                <w:rFonts w:ascii="楷体_GB2312" w:eastAsia="楷体_GB2312" w:hAnsi="宋体" w:cs="宋体" w:hint="eastAsia"/>
                <w:color w:val="FF0000"/>
                <w:kern w:val="0"/>
                <w:sz w:val="18"/>
                <w:szCs w:val="18"/>
              </w:rPr>
              <w:t>★★</w:t>
            </w:r>
          </w:p>
        </w:tc>
        <w:tc>
          <w:tcPr>
            <w:tcW w:w="0" w:type="auto"/>
            <w:shd w:val="clear" w:color="auto" w:fill="auto"/>
            <w:vAlign w:val="center"/>
          </w:tcPr>
          <w:p w:rsidR="00050159" w:rsidRPr="0033677C" w:rsidRDefault="00050159" w:rsidP="00A422E1">
            <w:pPr>
              <w:keepLines/>
              <w:adjustRightInd w:val="0"/>
              <w:snapToGrid w:val="0"/>
              <w:jc w:val="center"/>
              <w:rPr>
                <w:rFonts w:ascii="楷体_GB2312" w:eastAsia="楷体_GB2312" w:hAnsi="宋体" w:cs="宋体"/>
                <w:color w:val="000000"/>
                <w:kern w:val="0"/>
                <w:sz w:val="18"/>
                <w:szCs w:val="18"/>
              </w:rPr>
            </w:pPr>
            <w:r w:rsidRPr="004B0A06">
              <w:rPr>
                <w:rFonts w:ascii="楷体_GB2312" w:eastAsia="楷体_GB2312" w:hAnsi="宋体" w:cs="宋体" w:hint="eastAsia"/>
                <w:color w:val="FF0000"/>
                <w:kern w:val="0"/>
                <w:sz w:val="18"/>
                <w:szCs w:val="18"/>
              </w:rPr>
              <w:t>★★★★★</w:t>
            </w:r>
          </w:p>
        </w:tc>
      </w:tr>
      <w:tr w:rsidR="00050159" w:rsidRPr="002072D1" w:rsidTr="00B56956">
        <w:trPr>
          <w:trHeight w:val="397"/>
          <w:jc w:val="center"/>
        </w:trPr>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b/>
                <w:bCs/>
                <w:color w:val="0D0D0D"/>
                <w:kern w:val="0"/>
                <w:sz w:val="18"/>
                <w:szCs w:val="18"/>
              </w:rPr>
            </w:pPr>
            <w:r>
              <w:rPr>
                <w:rFonts w:ascii="楷体_GB2312" w:eastAsia="楷体_GB2312" w:hAnsi="宋体" w:cs="宋体" w:hint="eastAsia"/>
                <w:b/>
                <w:bCs/>
                <w:color w:val="0D0D0D"/>
                <w:kern w:val="0"/>
                <w:sz w:val="18"/>
                <w:szCs w:val="18"/>
              </w:rPr>
              <w:t>添富价值</w:t>
            </w:r>
          </w:p>
        </w:tc>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sidRPr="008261FB">
              <w:rPr>
                <w:rFonts w:ascii="楷体_GB2312" w:eastAsia="楷体_GB2312" w:hAnsi="宋体" w:cs="宋体"/>
                <w:color w:val="0D0D0D"/>
                <w:kern w:val="0"/>
                <w:sz w:val="18"/>
                <w:szCs w:val="18"/>
              </w:rPr>
              <w:t>519069</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股票型</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汇添富</w:t>
            </w:r>
          </w:p>
        </w:tc>
        <w:tc>
          <w:tcPr>
            <w:tcW w:w="0" w:type="auto"/>
            <w:shd w:val="clear" w:color="auto" w:fill="auto"/>
            <w:vAlign w:val="center"/>
          </w:tcPr>
          <w:p w:rsidR="00050159" w:rsidRPr="0033677C" w:rsidRDefault="00050159" w:rsidP="00A422E1">
            <w:pPr>
              <w:keepLines/>
              <w:adjustRightInd w:val="0"/>
              <w:snapToGrid w:val="0"/>
              <w:jc w:val="center"/>
              <w:rPr>
                <w:rFonts w:ascii="楷体_GB2312" w:eastAsia="楷体_GB2312" w:hAnsi="宋体" w:cs="宋体"/>
                <w:color w:val="000000"/>
                <w:kern w:val="0"/>
                <w:sz w:val="18"/>
                <w:szCs w:val="18"/>
              </w:rPr>
            </w:pPr>
            <w:r>
              <w:rPr>
                <w:rFonts w:ascii="楷体_GB2312" w:eastAsia="楷体_GB2312" w:hAnsi="宋体" w:cs="宋体" w:hint="eastAsia"/>
                <w:color w:val="FF0000"/>
                <w:kern w:val="0"/>
                <w:sz w:val="18"/>
                <w:szCs w:val="18"/>
              </w:rPr>
              <w:t>★★</w:t>
            </w:r>
            <w:r w:rsidRPr="004B0A06">
              <w:rPr>
                <w:rFonts w:ascii="楷体_GB2312" w:eastAsia="楷体_GB2312" w:hAnsi="宋体" w:cs="宋体" w:hint="eastAsia"/>
                <w:color w:val="FF0000"/>
                <w:kern w:val="0"/>
                <w:sz w:val="18"/>
                <w:szCs w:val="18"/>
              </w:rPr>
              <w:t>★★★</w:t>
            </w:r>
          </w:p>
        </w:tc>
        <w:tc>
          <w:tcPr>
            <w:tcW w:w="0" w:type="auto"/>
            <w:shd w:val="clear" w:color="auto" w:fill="auto"/>
            <w:vAlign w:val="center"/>
          </w:tcPr>
          <w:p w:rsidR="00050159" w:rsidRPr="0033677C" w:rsidRDefault="00050159" w:rsidP="00A422E1">
            <w:pPr>
              <w:keepLines/>
              <w:adjustRightInd w:val="0"/>
              <w:snapToGrid w:val="0"/>
              <w:jc w:val="center"/>
              <w:rPr>
                <w:rFonts w:ascii="楷体_GB2312" w:eastAsia="楷体_GB2312" w:hAnsi="宋体" w:cs="宋体"/>
                <w:color w:val="000000"/>
                <w:kern w:val="0"/>
                <w:sz w:val="18"/>
                <w:szCs w:val="18"/>
              </w:rPr>
            </w:pPr>
            <w:r>
              <w:rPr>
                <w:rFonts w:ascii="楷体_GB2312" w:eastAsia="楷体_GB2312" w:hAnsi="宋体" w:cs="宋体" w:hint="eastAsia"/>
                <w:color w:val="FF0000"/>
                <w:kern w:val="0"/>
                <w:sz w:val="18"/>
                <w:szCs w:val="18"/>
              </w:rPr>
              <w:t>★★★</w:t>
            </w:r>
            <w:r w:rsidRPr="004B0A06">
              <w:rPr>
                <w:rFonts w:ascii="楷体_GB2312" w:eastAsia="楷体_GB2312" w:hAnsi="宋体" w:cs="宋体" w:hint="eastAsia"/>
                <w:color w:val="FF0000"/>
                <w:kern w:val="0"/>
                <w:sz w:val="18"/>
                <w:szCs w:val="18"/>
              </w:rPr>
              <w:t>★★</w:t>
            </w:r>
          </w:p>
        </w:tc>
      </w:tr>
      <w:tr w:rsidR="00050159" w:rsidRPr="002072D1" w:rsidTr="00B56956">
        <w:trPr>
          <w:trHeight w:val="397"/>
          <w:jc w:val="center"/>
        </w:trPr>
        <w:tc>
          <w:tcPr>
            <w:tcW w:w="0" w:type="auto"/>
            <w:shd w:val="clear" w:color="auto" w:fill="auto"/>
            <w:vAlign w:val="center"/>
          </w:tcPr>
          <w:p w:rsidR="00050159" w:rsidRPr="00156DE0" w:rsidRDefault="00050159" w:rsidP="00050159">
            <w:pPr>
              <w:keepLines/>
              <w:adjustRightInd w:val="0"/>
              <w:snapToGrid w:val="0"/>
              <w:jc w:val="center"/>
              <w:rPr>
                <w:rFonts w:ascii="楷体_GB2312" w:eastAsia="楷体_GB2312" w:hAnsi="宋体" w:cs="宋体"/>
                <w:b/>
                <w:bCs/>
                <w:color w:val="0D0D0D"/>
                <w:kern w:val="0"/>
                <w:sz w:val="18"/>
                <w:szCs w:val="18"/>
              </w:rPr>
            </w:pPr>
            <w:r w:rsidRPr="000E2698">
              <w:rPr>
                <w:rFonts w:ascii="楷体_GB2312" w:eastAsia="楷体_GB2312" w:hAnsi="宋体" w:cs="宋体" w:hint="eastAsia"/>
                <w:b/>
                <w:color w:val="000000" w:themeColor="text1"/>
                <w:kern w:val="0"/>
                <w:szCs w:val="21"/>
              </w:rPr>
              <w:t>国泰纳</w:t>
            </w:r>
            <w:r>
              <w:rPr>
                <w:rFonts w:ascii="楷体_GB2312" w:eastAsia="楷体_GB2312" w:hAnsi="宋体" w:cs="宋体" w:hint="eastAsia"/>
                <w:b/>
                <w:color w:val="000000" w:themeColor="text1"/>
                <w:kern w:val="0"/>
                <w:szCs w:val="21"/>
              </w:rPr>
              <w:t>指</w:t>
            </w:r>
            <w:r w:rsidRPr="000E2698">
              <w:rPr>
                <w:rFonts w:ascii="楷体_GB2312" w:eastAsia="楷体_GB2312" w:hAnsi="宋体" w:cs="宋体" w:hint="eastAsia"/>
                <w:b/>
                <w:color w:val="000000" w:themeColor="text1"/>
                <w:kern w:val="0"/>
                <w:szCs w:val="21"/>
              </w:rPr>
              <w:t>100</w:t>
            </w:r>
          </w:p>
        </w:tc>
        <w:tc>
          <w:tcPr>
            <w:tcW w:w="0" w:type="auto"/>
            <w:shd w:val="clear" w:color="auto" w:fill="auto"/>
            <w:vAlign w:val="center"/>
          </w:tcPr>
          <w:p w:rsidR="00050159" w:rsidRPr="008261FB" w:rsidRDefault="00050159" w:rsidP="00A422E1">
            <w:pPr>
              <w:keepLines/>
              <w:adjustRightInd w:val="0"/>
              <w:snapToGrid w:val="0"/>
              <w:jc w:val="center"/>
              <w:rPr>
                <w:rFonts w:ascii="楷体_GB2312" w:eastAsia="楷体_GB2312" w:hAnsi="宋体" w:cs="宋体"/>
                <w:color w:val="0D0D0D"/>
                <w:kern w:val="0"/>
                <w:sz w:val="18"/>
                <w:szCs w:val="18"/>
              </w:rPr>
            </w:pPr>
            <w:r w:rsidRPr="00050159">
              <w:rPr>
                <w:rFonts w:ascii="楷体_GB2312" w:eastAsia="楷体_GB2312" w:hAnsi="宋体" w:cs="宋体"/>
                <w:color w:val="0D0D0D"/>
                <w:kern w:val="0"/>
                <w:sz w:val="18"/>
                <w:szCs w:val="18"/>
              </w:rPr>
              <w:t>160213</w:t>
            </w:r>
          </w:p>
        </w:tc>
        <w:tc>
          <w:tcPr>
            <w:tcW w:w="0" w:type="auto"/>
            <w:vAlign w:val="center"/>
          </w:tcPr>
          <w:p w:rsidR="00050159"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QDII</w:t>
            </w:r>
          </w:p>
        </w:tc>
        <w:tc>
          <w:tcPr>
            <w:tcW w:w="0" w:type="auto"/>
            <w:vAlign w:val="center"/>
          </w:tcPr>
          <w:p w:rsidR="00050159"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国泰</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3677C">
              <w:rPr>
                <w:rFonts w:ascii="楷体_GB2312" w:eastAsia="楷体_GB2312" w:hAnsi="宋体" w:cs="宋体" w:hint="eastAsia"/>
                <w:color w:val="000000"/>
                <w:kern w:val="0"/>
                <w:sz w:val="18"/>
                <w:szCs w:val="18"/>
              </w:rPr>
              <w:t>—</w:t>
            </w:r>
            <w:r w:rsidRPr="003F3857">
              <w:rPr>
                <w:rFonts w:ascii="楷体_GB2312" w:eastAsia="楷体_GB2312" w:hAnsi="宋体" w:cs="宋体" w:hint="eastAsia"/>
                <w:b/>
                <w:bCs/>
                <w:color w:val="0D0D0D"/>
                <w:kern w:val="0"/>
                <w:sz w:val="18"/>
                <w:szCs w:val="18"/>
              </w:rPr>
              <w:t>—</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F3857">
              <w:rPr>
                <w:rFonts w:ascii="楷体_GB2312" w:eastAsia="楷体_GB2312" w:hAnsi="宋体" w:cs="宋体" w:hint="eastAsia"/>
                <w:b/>
                <w:bCs/>
                <w:color w:val="0D0D0D"/>
                <w:kern w:val="0"/>
                <w:sz w:val="18"/>
                <w:szCs w:val="18"/>
              </w:rPr>
              <w:t>——</w:t>
            </w:r>
          </w:p>
        </w:tc>
      </w:tr>
      <w:tr w:rsidR="00050159" w:rsidRPr="002072D1" w:rsidTr="00B56956">
        <w:trPr>
          <w:trHeight w:val="397"/>
          <w:jc w:val="center"/>
        </w:trPr>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b/>
                <w:bCs/>
                <w:color w:val="0D0D0D"/>
                <w:kern w:val="0"/>
                <w:sz w:val="18"/>
                <w:szCs w:val="18"/>
              </w:rPr>
            </w:pPr>
            <w:r w:rsidRPr="000E2698">
              <w:rPr>
                <w:rFonts w:ascii="楷体_GB2312" w:eastAsia="楷体_GB2312" w:hAnsi="宋体" w:cs="宋体" w:hint="eastAsia"/>
                <w:b/>
                <w:color w:val="000000" w:themeColor="text1"/>
                <w:kern w:val="0"/>
                <w:szCs w:val="21"/>
              </w:rPr>
              <w:t>博时标普500</w:t>
            </w:r>
          </w:p>
        </w:tc>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0</w:t>
            </w:r>
            <w:r w:rsidRPr="00050159">
              <w:rPr>
                <w:rFonts w:ascii="楷体_GB2312" w:eastAsia="楷体_GB2312" w:hAnsi="宋体" w:cs="宋体"/>
                <w:color w:val="0D0D0D"/>
                <w:kern w:val="0"/>
                <w:sz w:val="18"/>
                <w:szCs w:val="18"/>
              </w:rPr>
              <w:t>50025</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QDII</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博时</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3677C">
              <w:rPr>
                <w:rFonts w:ascii="楷体_GB2312" w:eastAsia="楷体_GB2312" w:hAnsi="宋体" w:cs="宋体" w:hint="eastAsia"/>
                <w:color w:val="000000"/>
                <w:kern w:val="0"/>
                <w:sz w:val="18"/>
                <w:szCs w:val="18"/>
              </w:rPr>
              <w:t>—</w:t>
            </w:r>
            <w:r w:rsidRPr="003F3857">
              <w:rPr>
                <w:rFonts w:ascii="楷体_GB2312" w:eastAsia="楷体_GB2312" w:hAnsi="宋体" w:cs="宋体" w:hint="eastAsia"/>
                <w:b/>
                <w:bCs/>
                <w:color w:val="0D0D0D"/>
                <w:kern w:val="0"/>
                <w:sz w:val="18"/>
                <w:szCs w:val="18"/>
              </w:rPr>
              <w:t>—</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F3857">
              <w:rPr>
                <w:rFonts w:ascii="楷体_GB2312" w:eastAsia="楷体_GB2312" w:hAnsi="宋体" w:cs="宋体" w:hint="eastAsia"/>
                <w:b/>
                <w:bCs/>
                <w:color w:val="0D0D0D"/>
                <w:kern w:val="0"/>
                <w:sz w:val="18"/>
                <w:szCs w:val="18"/>
              </w:rPr>
              <w:t>——</w:t>
            </w:r>
          </w:p>
        </w:tc>
      </w:tr>
      <w:tr w:rsidR="00050159" w:rsidRPr="002072D1" w:rsidTr="00B56956">
        <w:trPr>
          <w:trHeight w:val="397"/>
          <w:jc w:val="center"/>
        </w:trPr>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b/>
                <w:bCs/>
                <w:color w:val="0D0D0D"/>
                <w:kern w:val="0"/>
                <w:sz w:val="18"/>
                <w:szCs w:val="18"/>
              </w:rPr>
            </w:pPr>
            <w:r>
              <w:rPr>
                <w:rFonts w:ascii="楷体_GB2312" w:eastAsia="楷体_GB2312" w:hAnsi="宋体" w:cs="宋体" w:hint="eastAsia"/>
                <w:b/>
                <w:bCs/>
                <w:color w:val="0D0D0D"/>
                <w:kern w:val="0"/>
                <w:sz w:val="18"/>
                <w:szCs w:val="18"/>
              </w:rPr>
              <w:t>天弘永利B</w:t>
            </w:r>
          </w:p>
        </w:tc>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420102</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债券型</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天弘</w:t>
            </w:r>
          </w:p>
        </w:tc>
        <w:tc>
          <w:tcPr>
            <w:tcW w:w="0" w:type="auto"/>
            <w:shd w:val="clear" w:color="auto" w:fill="auto"/>
            <w:vAlign w:val="center"/>
          </w:tcPr>
          <w:p w:rsidR="00050159" w:rsidRPr="0033677C" w:rsidRDefault="00050159" w:rsidP="00A422E1">
            <w:pPr>
              <w:keepLines/>
              <w:adjustRightInd w:val="0"/>
              <w:snapToGrid w:val="0"/>
              <w:jc w:val="center"/>
              <w:rPr>
                <w:rFonts w:ascii="楷体_GB2312" w:eastAsia="楷体_GB2312" w:hAnsi="宋体" w:cs="宋体"/>
                <w:color w:val="000000"/>
                <w:kern w:val="0"/>
                <w:sz w:val="18"/>
                <w:szCs w:val="18"/>
              </w:rPr>
            </w:pPr>
            <w:r>
              <w:rPr>
                <w:rFonts w:ascii="楷体_GB2312" w:eastAsia="楷体_GB2312" w:hAnsi="宋体" w:cs="宋体" w:hint="eastAsia"/>
                <w:color w:val="FF0000"/>
                <w:kern w:val="0"/>
                <w:sz w:val="18"/>
                <w:szCs w:val="18"/>
              </w:rPr>
              <w:t>★★★</w:t>
            </w:r>
            <w:r w:rsidRPr="004B0A06">
              <w:rPr>
                <w:rFonts w:ascii="楷体_GB2312" w:eastAsia="楷体_GB2312" w:hAnsi="宋体" w:cs="宋体" w:hint="eastAsia"/>
                <w:color w:val="FF0000"/>
                <w:kern w:val="0"/>
                <w:sz w:val="18"/>
                <w:szCs w:val="18"/>
              </w:rPr>
              <w:t>★★</w:t>
            </w:r>
          </w:p>
        </w:tc>
        <w:tc>
          <w:tcPr>
            <w:tcW w:w="0" w:type="auto"/>
            <w:shd w:val="clear" w:color="auto" w:fill="auto"/>
            <w:vAlign w:val="center"/>
          </w:tcPr>
          <w:p w:rsidR="00050159" w:rsidRPr="0033677C" w:rsidRDefault="00050159" w:rsidP="00A422E1">
            <w:pPr>
              <w:keepLines/>
              <w:adjustRightInd w:val="0"/>
              <w:snapToGrid w:val="0"/>
              <w:jc w:val="center"/>
              <w:rPr>
                <w:rFonts w:ascii="楷体_GB2312" w:eastAsia="楷体_GB2312" w:hAnsi="宋体" w:cs="宋体"/>
                <w:color w:val="000000"/>
                <w:kern w:val="0"/>
                <w:sz w:val="18"/>
                <w:szCs w:val="18"/>
              </w:rPr>
            </w:pPr>
            <w:r>
              <w:rPr>
                <w:rFonts w:ascii="楷体_GB2312" w:eastAsia="楷体_GB2312" w:hAnsi="宋体" w:cs="宋体" w:hint="eastAsia"/>
                <w:color w:val="FF0000"/>
                <w:kern w:val="0"/>
                <w:sz w:val="18"/>
                <w:szCs w:val="18"/>
              </w:rPr>
              <w:t>★★★★</w:t>
            </w:r>
            <w:r w:rsidRPr="004B0A06">
              <w:rPr>
                <w:rFonts w:ascii="楷体_GB2312" w:eastAsia="楷体_GB2312" w:hAnsi="宋体" w:cs="宋体" w:hint="eastAsia"/>
                <w:color w:val="FF0000"/>
                <w:kern w:val="0"/>
                <w:sz w:val="18"/>
                <w:szCs w:val="18"/>
              </w:rPr>
              <w:t>★</w:t>
            </w:r>
          </w:p>
        </w:tc>
      </w:tr>
      <w:tr w:rsidR="00050159" w:rsidRPr="003F3857" w:rsidTr="00B56956">
        <w:trPr>
          <w:trHeight w:val="397"/>
          <w:jc w:val="center"/>
        </w:trPr>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b/>
                <w:bCs/>
                <w:color w:val="0D0D0D"/>
                <w:kern w:val="0"/>
                <w:sz w:val="18"/>
                <w:szCs w:val="18"/>
              </w:rPr>
            </w:pPr>
            <w:r w:rsidRPr="001941AC">
              <w:rPr>
                <w:rFonts w:ascii="楷体_GB2312" w:eastAsia="楷体_GB2312" w:hAnsi="宋体" w:cs="宋体" w:hint="eastAsia"/>
                <w:b/>
                <w:bCs/>
                <w:color w:val="0D0D0D"/>
                <w:kern w:val="0"/>
                <w:sz w:val="18"/>
                <w:szCs w:val="18"/>
              </w:rPr>
              <w:lastRenderedPageBreak/>
              <w:t>华夏现金</w:t>
            </w:r>
          </w:p>
        </w:tc>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sidRPr="008C0ECC">
              <w:rPr>
                <w:rFonts w:ascii="楷体_GB2312" w:eastAsia="楷体_GB2312" w:hAnsi="宋体" w:cs="宋体"/>
                <w:color w:val="0D0D0D"/>
                <w:kern w:val="0"/>
                <w:sz w:val="18"/>
                <w:szCs w:val="18"/>
              </w:rPr>
              <w:t>003003</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sidRPr="001941AC">
              <w:rPr>
                <w:rFonts w:ascii="楷体_GB2312" w:eastAsia="楷体_GB2312" w:hAnsi="宋体" w:cs="宋体" w:hint="eastAsia"/>
                <w:color w:val="0D0D0D"/>
                <w:kern w:val="0"/>
                <w:sz w:val="18"/>
                <w:szCs w:val="18"/>
              </w:rPr>
              <w:t>货币市场</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sidRPr="001941AC">
              <w:rPr>
                <w:rFonts w:ascii="楷体_GB2312" w:eastAsia="楷体_GB2312" w:hAnsi="宋体" w:cs="宋体" w:hint="eastAsia"/>
                <w:color w:val="0D0D0D"/>
                <w:kern w:val="0"/>
                <w:sz w:val="18"/>
                <w:szCs w:val="18"/>
              </w:rPr>
              <w:t>华夏</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3677C">
              <w:rPr>
                <w:rFonts w:ascii="楷体_GB2312" w:eastAsia="楷体_GB2312" w:hAnsi="宋体" w:cs="宋体" w:hint="eastAsia"/>
                <w:color w:val="000000"/>
                <w:kern w:val="0"/>
                <w:sz w:val="18"/>
                <w:szCs w:val="18"/>
              </w:rPr>
              <w:t>—</w:t>
            </w:r>
            <w:r w:rsidRPr="003F3857">
              <w:rPr>
                <w:rFonts w:ascii="楷体_GB2312" w:eastAsia="楷体_GB2312" w:hAnsi="宋体" w:cs="宋体" w:hint="eastAsia"/>
                <w:b/>
                <w:bCs/>
                <w:color w:val="0D0D0D"/>
                <w:kern w:val="0"/>
                <w:sz w:val="18"/>
                <w:szCs w:val="18"/>
              </w:rPr>
              <w:t>—</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F3857">
              <w:rPr>
                <w:rFonts w:ascii="楷体_GB2312" w:eastAsia="楷体_GB2312" w:hAnsi="宋体" w:cs="宋体" w:hint="eastAsia"/>
                <w:b/>
                <w:bCs/>
                <w:color w:val="0D0D0D"/>
                <w:kern w:val="0"/>
                <w:sz w:val="18"/>
                <w:szCs w:val="18"/>
              </w:rPr>
              <w:t>——</w:t>
            </w:r>
          </w:p>
        </w:tc>
      </w:tr>
      <w:tr w:rsidR="00050159" w:rsidRPr="003F3857" w:rsidTr="00B56956">
        <w:trPr>
          <w:trHeight w:val="397"/>
          <w:jc w:val="center"/>
        </w:trPr>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b/>
                <w:bCs/>
                <w:color w:val="0D0D0D"/>
                <w:kern w:val="0"/>
                <w:sz w:val="18"/>
                <w:szCs w:val="18"/>
              </w:rPr>
            </w:pPr>
            <w:r w:rsidRPr="001941AC">
              <w:rPr>
                <w:rFonts w:ascii="楷体_GB2312" w:eastAsia="楷体_GB2312" w:hAnsi="宋体" w:cs="宋体" w:hint="eastAsia"/>
                <w:b/>
                <w:bCs/>
                <w:color w:val="0D0D0D"/>
                <w:kern w:val="0"/>
                <w:sz w:val="18"/>
                <w:szCs w:val="18"/>
              </w:rPr>
              <w:t>广发货币B</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color w:val="0D0D0D"/>
                <w:kern w:val="0"/>
                <w:sz w:val="18"/>
                <w:szCs w:val="18"/>
              </w:rPr>
            </w:pPr>
            <w:r w:rsidRPr="003F3857">
              <w:rPr>
                <w:rFonts w:ascii="楷体_GB2312" w:eastAsia="楷体_GB2312" w:hAnsi="宋体" w:cs="宋体"/>
                <w:color w:val="0D0D0D"/>
                <w:kern w:val="0"/>
                <w:sz w:val="18"/>
                <w:szCs w:val="18"/>
              </w:rPr>
              <w:t>270014</w:t>
            </w:r>
          </w:p>
        </w:tc>
        <w:tc>
          <w:tcPr>
            <w:tcW w:w="0" w:type="auto"/>
            <w:vAlign w:val="center"/>
          </w:tcPr>
          <w:p w:rsidR="00050159" w:rsidRPr="003F3857" w:rsidRDefault="00050159" w:rsidP="00A422E1">
            <w:pPr>
              <w:keepLines/>
              <w:adjustRightInd w:val="0"/>
              <w:snapToGrid w:val="0"/>
              <w:jc w:val="center"/>
              <w:rPr>
                <w:rFonts w:ascii="楷体_GB2312" w:eastAsia="楷体_GB2312" w:hAnsi="宋体" w:cs="宋体"/>
                <w:color w:val="0D0D0D"/>
                <w:kern w:val="0"/>
                <w:sz w:val="18"/>
                <w:szCs w:val="18"/>
              </w:rPr>
            </w:pPr>
            <w:r w:rsidRPr="003F3857">
              <w:rPr>
                <w:rFonts w:ascii="楷体_GB2312" w:eastAsia="楷体_GB2312" w:hAnsi="宋体" w:cs="宋体" w:hint="eastAsia"/>
                <w:color w:val="0D0D0D"/>
                <w:kern w:val="0"/>
                <w:sz w:val="18"/>
                <w:szCs w:val="18"/>
              </w:rPr>
              <w:t>货币市场</w:t>
            </w:r>
          </w:p>
        </w:tc>
        <w:tc>
          <w:tcPr>
            <w:tcW w:w="0" w:type="auto"/>
            <w:vAlign w:val="center"/>
          </w:tcPr>
          <w:p w:rsidR="00050159" w:rsidRPr="003F3857" w:rsidRDefault="00050159" w:rsidP="00A422E1">
            <w:pPr>
              <w:keepLines/>
              <w:adjustRightInd w:val="0"/>
              <w:snapToGrid w:val="0"/>
              <w:jc w:val="center"/>
              <w:rPr>
                <w:rFonts w:ascii="楷体_GB2312" w:eastAsia="楷体_GB2312" w:hAnsi="宋体" w:cs="宋体"/>
                <w:color w:val="0D0D0D"/>
                <w:kern w:val="0"/>
                <w:sz w:val="18"/>
                <w:szCs w:val="18"/>
              </w:rPr>
            </w:pPr>
            <w:r w:rsidRPr="003F3857">
              <w:rPr>
                <w:rFonts w:ascii="楷体_GB2312" w:eastAsia="楷体_GB2312" w:hAnsi="宋体" w:cs="宋体" w:hint="eastAsia"/>
                <w:color w:val="0D0D0D"/>
                <w:kern w:val="0"/>
                <w:sz w:val="18"/>
                <w:szCs w:val="18"/>
              </w:rPr>
              <w:t>广发</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F3857">
              <w:rPr>
                <w:rFonts w:ascii="楷体_GB2312" w:eastAsia="楷体_GB2312" w:hAnsi="宋体" w:cs="宋体" w:hint="eastAsia"/>
                <w:b/>
                <w:bCs/>
                <w:color w:val="0D0D0D"/>
                <w:kern w:val="0"/>
                <w:sz w:val="18"/>
                <w:szCs w:val="18"/>
              </w:rPr>
              <w:t>——</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F3857">
              <w:rPr>
                <w:rFonts w:ascii="楷体_GB2312" w:eastAsia="楷体_GB2312" w:hAnsi="宋体" w:cs="宋体" w:hint="eastAsia"/>
                <w:b/>
                <w:bCs/>
                <w:color w:val="0D0D0D"/>
                <w:kern w:val="0"/>
                <w:sz w:val="18"/>
                <w:szCs w:val="18"/>
              </w:rPr>
              <w:t>——</w:t>
            </w:r>
          </w:p>
        </w:tc>
      </w:tr>
      <w:tr w:rsidR="00050159" w:rsidRPr="002072D1" w:rsidTr="00B56956">
        <w:trPr>
          <w:trHeight w:val="397"/>
          <w:jc w:val="center"/>
        </w:trPr>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b/>
                <w:bCs/>
                <w:color w:val="0D0D0D"/>
                <w:kern w:val="0"/>
                <w:sz w:val="18"/>
                <w:szCs w:val="18"/>
              </w:rPr>
            </w:pPr>
            <w:r>
              <w:rPr>
                <w:rFonts w:ascii="楷体_GB2312" w:eastAsia="楷体_GB2312" w:hAnsi="宋体" w:cs="宋体" w:hint="eastAsia"/>
                <w:b/>
                <w:bCs/>
                <w:color w:val="0D0D0D"/>
                <w:kern w:val="0"/>
                <w:sz w:val="18"/>
                <w:szCs w:val="18"/>
              </w:rPr>
              <w:t>建信货币</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color w:val="0D0D0D"/>
                <w:kern w:val="0"/>
                <w:sz w:val="18"/>
                <w:szCs w:val="18"/>
              </w:rPr>
            </w:pPr>
            <w:r w:rsidRPr="003F3857">
              <w:rPr>
                <w:rFonts w:ascii="楷体_GB2312" w:eastAsia="楷体_GB2312" w:hAnsi="宋体" w:cs="宋体"/>
                <w:color w:val="0D0D0D"/>
                <w:kern w:val="0"/>
                <w:sz w:val="18"/>
                <w:szCs w:val="18"/>
              </w:rPr>
              <w:t>530002</w:t>
            </w:r>
          </w:p>
        </w:tc>
        <w:tc>
          <w:tcPr>
            <w:tcW w:w="0" w:type="auto"/>
            <w:vAlign w:val="center"/>
          </w:tcPr>
          <w:p w:rsidR="00050159" w:rsidRPr="003F3857" w:rsidRDefault="00050159" w:rsidP="00A422E1">
            <w:pPr>
              <w:keepLines/>
              <w:adjustRightInd w:val="0"/>
              <w:snapToGrid w:val="0"/>
              <w:jc w:val="center"/>
              <w:rPr>
                <w:rFonts w:ascii="楷体_GB2312" w:eastAsia="楷体_GB2312" w:hAnsi="宋体" w:cs="宋体"/>
                <w:color w:val="0D0D0D"/>
                <w:kern w:val="0"/>
                <w:sz w:val="18"/>
                <w:szCs w:val="18"/>
              </w:rPr>
            </w:pPr>
            <w:r w:rsidRPr="003F3857">
              <w:rPr>
                <w:rFonts w:ascii="楷体_GB2312" w:eastAsia="楷体_GB2312" w:hAnsi="宋体" w:cs="宋体" w:hint="eastAsia"/>
                <w:color w:val="0D0D0D"/>
                <w:kern w:val="0"/>
                <w:sz w:val="18"/>
                <w:szCs w:val="18"/>
              </w:rPr>
              <w:t>货币市场</w:t>
            </w:r>
          </w:p>
        </w:tc>
        <w:tc>
          <w:tcPr>
            <w:tcW w:w="0" w:type="auto"/>
            <w:vAlign w:val="center"/>
          </w:tcPr>
          <w:p w:rsidR="00050159" w:rsidRPr="003F3857" w:rsidRDefault="00050159" w:rsidP="00A422E1">
            <w:pPr>
              <w:keepLines/>
              <w:adjustRightInd w:val="0"/>
              <w:snapToGrid w:val="0"/>
              <w:jc w:val="center"/>
              <w:rPr>
                <w:rFonts w:ascii="楷体_GB2312" w:eastAsia="楷体_GB2312" w:hAnsi="宋体" w:cs="宋体"/>
                <w:color w:val="0D0D0D"/>
                <w:kern w:val="0"/>
                <w:sz w:val="18"/>
                <w:szCs w:val="18"/>
              </w:rPr>
            </w:pPr>
            <w:r w:rsidRPr="003F3857">
              <w:rPr>
                <w:rFonts w:ascii="楷体_GB2312" w:eastAsia="楷体_GB2312" w:hAnsi="宋体" w:cs="宋体" w:hint="eastAsia"/>
                <w:color w:val="0D0D0D"/>
                <w:kern w:val="0"/>
                <w:sz w:val="18"/>
                <w:szCs w:val="18"/>
              </w:rPr>
              <w:t>建信</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F3857">
              <w:rPr>
                <w:rFonts w:ascii="楷体_GB2312" w:eastAsia="楷体_GB2312" w:hAnsi="宋体" w:cs="宋体" w:hint="eastAsia"/>
                <w:b/>
                <w:bCs/>
                <w:color w:val="0D0D0D"/>
                <w:kern w:val="0"/>
                <w:sz w:val="18"/>
                <w:szCs w:val="18"/>
              </w:rPr>
              <w:t>——</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F3857">
              <w:rPr>
                <w:rFonts w:ascii="楷体_GB2312" w:eastAsia="楷体_GB2312" w:hAnsi="宋体" w:cs="宋体" w:hint="eastAsia"/>
                <w:b/>
                <w:bCs/>
                <w:color w:val="0D0D0D"/>
                <w:kern w:val="0"/>
                <w:sz w:val="18"/>
                <w:szCs w:val="18"/>
              </w:rPr>
              <w:t>——</w:t>
            </w:r>
          </w:p>
        </w:tc>
      </w:tr>
    </w:tbl>
    <w:bookmarkEnd w:id="0"/>
    <w:p w:rsidR="00141178" w:rsidRDefault="00141178" w:rsidP="00141178">
      <w:pPr>
        <w:keepLines/>
        <w:adjustRightInd w:val="0"/>
        <w:snapToGrid w:val="0"/>
        <w:ind w:firstLineChars="300" w:firstLine="630"/>
        <w:rPr>
          <w:rFonts w:ascii="楷体_GB2312" w:eastAsia="楷体_GB2312"/>
          <w:noProof/>
        </w:rPr>
      </w:pPr>
      <w:r>
        <w:rPr>
          <w:rFonts w:ascii="楷体_GB2312" w:eastAsia="楷体_GB2312" w:hint="eastAsia"/>
          <w:noProof/>
        </w:rPr>
        <w:t>来源：</w:t>
      </w:r>
      <w:r w:rsidRPr="003D6908">
        <w:rPr>
          <w:rFonts w:ascii="楷体_GB2312" w:eastAsia="楷体_GB2312" w:hint="eastAsia"/>
          <w:noProof/>
        </w:rPr>
        <w:t>wind上海证券基金评价研究中心</w:t>
      </w:r>
      <w:r>
        <w:rPr>
          <w:rFonts w:ascii="楷体_GB2312" w:eastAsia="楷体_GB2312" w:hint="eastAsia"/>
          <w:noProof/>
        </w:rPr>
        <w:t>。</w:t>
      </w:r>
    </w:p>
    <w:p w:rsidR="00141178" w:rsidRDefault="00141178" w:rsidP="00141178">
      <w:pPr>
        <w:keepLines/>
        <w:adjustRightInd w:val="0"/>
        <w:snapToGrid w:val="0"/>
        <w:ind w:firstLineChars="300" w:firstLine="630"/>
        <w:rPr>
          <w:rFonts w:ascii="楷体_GB2312" w:eastAsia="楷体_GB2312"/>
          <w:noProof/>
        </w:rPr>
      </w:pPr>
      <w:r>
        <w:rPr>
          <w:rFonts w:ascii="楷体_GB2312" w:eastAsia="楷体_GB2312" w:hint="eastAsia"/>
          <w:noProof/>
        </w:rPr>
        <w:t>信息披露：嘉实精选、</w:t>
      </w:r>
      <w:r w:rsidRPr="00E3456D">
        <w:rPr>
          <w:rFonts w:ascii="楷体_GB2312" w:eastAsia="楷体_GB2312" w:hint="eastAsia"/>
          <w:noProof/>
        </w:rPr>
        <w:t>华夏现金</w:t>
      </w:r>
      <w:r>
        <w:rPr>
          <w:rFonts w:ascii="楷体_GB2312" w:eastAsia="楷体_GB2312" w:hint="eastAsia"/>
          <w:noProof/>
        </w:rPr>
        <w:t>、华夏亚债A上海证券代销</w:t>
      </w:r>
    </w:p>
    <w:p w:rsidR="00050159" w:rsidRPr="000E2698" w:rsidRDefault="00050159" w:rsidP="00A422E1">
      <w:pPr>
        <w:spacing w:beforeLines="50"/>
        <w:ind w:leftChars="1350" w:left="2835" w:firstLineChars="202" w:firstLine="426"/>
        <w:rPr>
          <w:rFonts w:ascii="楷体_GB2312" w:eastAsia="楷体_GB2312" w:hAnsi="宋体" w:cs="宋体"/>
          <w:color w:val="000000" w:themeColor="text1"/>
          <w:kern w:val="0"/>
          <w:szCs w:val="21"/>
        </w:rPr>
      </w:pPr>
      <w:r w:rsidRPr="000E2698">
        <w:rPr>
          <w:rFonts w:ascii="楷体_GB2312" w:eastAsia="楷体_GB2312" w:hAnsi="宋体" w:cs="宋体" w:hint="eastAsia"/>
          <w:b/>
          <w:color w:val="000000" w:themeColor="text1"/>
          <w:kern w:val="0"/>
          <w:szCs w:val="21"/>
        </w:rPr>
        <w:t>银河成长：</w:t>
      </w:r>
      <w:r w:rsidRPr="000E2698">
        <w:rPr>
          <w:rFonts w:ascii="楷体_GB2312" w:eastAsia="楷体_GB2312" w:hAnsi="宋体" w:cs="宋体" w:hint="eastAsia"/>
          <w:color w:val="000000" w:themeColor="text1"/>
          <w:kern w:val="0"/>
          <w:szCs w:val="21"/>
        </w:rPr>
        <w:t>当前投资风格转向小盘成长，资产结构稳定，选证能力尤为突出，持续赢得上海证券选证能力五星评级。基金业绩持续稳定，组合风险收益配比效果突出。</w:t>
      </w:r>
    </w:p>
    <w:p w:rsidR="00050159" w:rsidRPr="000E2698" w:rsidRDefault="00050159" w:rsidP="00A422E1">
      <w:pPr>
        <w:spacing w:beforeLines="50"/>
        <w:ind w:leftChars="1350" w:left="2835" w:firstLineChars="202" w:firstLine="426"/>
        <w:rPr>
          <w:rFonts w:ascii="楷体_GB2312" w:eastAsia="楷体_GB2312" w:hAnsi="宋体" w:cs="宋体"/>
          <w:color w:val="000000" w:themeColor="text1"/>
          <w:kern w:val="0"/>
          <w:szCs w:val="21"/>
        </w:rPr>
      </w:pPr>
      <w:r w:rsidRPr="000E2698">
        <w:rPr>
          <w:rFonts w:ascii="楷体_GB2312" w:eastAsia="楷体_GB2312" w:hAnsi="宋体" w:cs="宋体" w:hint="eastAsia"/>
          <w:b/>
          <w:color w:val="000000" w:themeColor="text1"/>
          <w:kern w:val="0"/>
          <w:szCs w:val="21"/>
        </w:rPr>
        <w:t>添富价值：</w:t>
      </w:r>
      <w:r w:rsidRPr="000E2698">
        <w:rPr>
          <w:rFonts w:ascii="楷体_GB2312" w:eastAsia="楷体_GB2312" w:hAnsi="宋体" w:cs="宋体" w:hint="eastAsia"/>
          <w:color w:val="000000" w:themeColor="text1"/>
          <w:kern w:val="0"/>
          <w:szCs w:val="21"/>
        </w:rPr>
        <w:t>该基金保持充分投资，行业结构调整灵活，对市场结构性机会把握能力出色，选证能力和综合评级均获最高五星评级。基金经理稳定，投资风格和策略延续性强，历史管理绩效出色且稳定性强。</w:t>
      </w:r>
    </w:p>
    <w:p w:rsidR="00050159" w:rsidRPr="000E2698" w:rsidRDefault="00050159" w:rsidP="00A422E1">
      <w:pPr>
        <w:spacing w:beforeLines="50"/>
        <w:ind w:leftChars="1350" w:left="2835" w:firstLineChars="202" w:firstLine="426"/>
        <w:rPr>
          <w:rFonts w:ascii="楷体_GB2312" w:eastAsia="楷体_GB2312" w:hAnsi="宋体" w:cs="宋体"/>
          <w:color w:val="000000" w:themeColor="text1"/>
          <w:kern w:val="0"/>
          <w:szCs w:val="21"/>
        </w:rPr>
      </w:pPr>
      <w:r w:rsidRPr="000E2698">
        <w:rPr>
          <w:rFonts w:ascii="楷体_GB2312" w:eastAsia="楷体_GB2312" w:hAnsi="宋体" w:cs="宋体" w:hint="eastAsia"/>
          <w:b/>
          <w:color w:val="000000" w:themeColor="text1"/>
          <w:kern w:val="0"/>
          <w:szCs w:val="21"/>
        </w:rPr>
        <w:t>国泰纳斯达克100：</w:t>
      </w:r>
      <w:r w:rsidRPr="000E2698">
        <w:rPr>
          <w:rFonts w:ascii="楷体_GB2312" w:eastAsia="楷体_GB2312" w:hAnsi="宋体" w:cs="宋体" w:hint="eastAsia"/>
          <w:color w:val="000000" w:themeColor="text1"/>
          <w:kern w:val="0"/>
          <w:szCs w:val="21"/>
        </w:rPr>
        <w:t>该基金紧密跟踪美国纳斯达克100指数，该指数均具有高科技、高成长和非金融的特点，成分股包括苹果、微软等世界知名科技公司，可以说是美国科技股的代表。</w:t>
      </w:r>
    </w:p>
    <w:p w:rsidR="00050159" w:rsidRPr="000E2698" w:rsidRDefault="00050159" w:rsidP="00A422E1">
      <w:pPr>
        <w:spacing w:beforeLines="50"/>
        <w:ind w:leftChars="1350" w:left="2835" w:firstLineChars="202" w:firstLine="426"/>
        <w:rPr>
          <w:rFonts w:ascii="楷体_GB2312" w:eastAsia="楷体_GB2312" w:hAnsi="宋体" w:cs="宋体"/>
          <w:color w:val="000000" w:themeColor="text1"/>
          <w:kern w:val="0"/>
          <w:szCs w:val="21"/>
        </w:rPr>
      </w:pPr>
      <w:r w:rsidRPr="000E2698">
        <w:rPr>
          <w:rFonts w:ascii="楷体_GB2312" w:eastAsia="楷体_GB2312" w:hAnsi="宋体" w:cs="宋体" w:hint="eastAsia"/>
          <w:b/>
          <w:color w:val="000000" w:themeColor="text1"/>
          <w:kern w:val="0"/>
          <w:szCs w:val="21"/>
        </w:rPr>
        <w:t>博时标普500：</w:t>
      </w:r>
      <w:r w:rsidRPr="000E2698">
        <w:rPr>
          <w:rFonts w:ascii="楷体_GB2312" w:eastAsia="楷体_GB2312" w:hAnsi="宋体" w:cs="宋体" w:hint="eastAsia"/>
          <w:color w:val="000000" w:themeColor="text1"/>
          <w:kern w:val="0"/>
          <w:szCs w:val="21"/>
        </w:rPr>
        <w:t>该基金紧密跟踪美国标普500指数，是跟踪标普美国市场宽基指数中规模最大的一只基金。</w:t>
      </w:r>
      <w:r w:rsidR="005C7781">
        <w:rPr>
          <w:rFonts w:ascii="楷体_GB2312" w:eastAsia="楷体_GB2312" w:hAnsi="宋体" w:cs="宋体" w:hint="eastAsia"/>
          <w:color w:val="000000" w:themeColor="text1"/>
          <w:kern w:val="0"/>
          <w:szCs w:val="21"/>
        </w:rPr>
        <w:t>标的指数</w:t>
      </w:r>
      <w:r w:rsidRPr="000E2698">
        <w:rPr>
          <w:rFonts w:ascii="楷体_GB2312" w:eastAsia="楷体_GB2312" w:hAnsi="宋体" w:cs="宋体"/>
          <w:color w:val="000000" w:themeColor="text1"/>
          <w:kern w:val="0"/>
          <w:szCs w:val="21"/>
        </w:rPr>
        <w:t>成份股覆盖美国经济中主要行业的500家代表性公司，被广泛用来代表美国股票市场的发展动态，是全球资本市场上</w:t>
      </w:r>
      <w:r w:rsidRPr="000E2698">
        <w:rPr>
          <w:rFonts w:ascii="楷体_GB2312" w:eastAsia="楷体_GB2312" w:hAnsi="宋体" w:cs="宋体" w:hint="eastAsia"/>
          <w:color w:val="000000" w:themeColor="text1"/>
          <w:kern w:val="0"/>
          <w:szCs w:val="21"/>
        </w:rPr>
        <w:t>最</w:t>
      </w:r>
      <w:r w:rsidRPr="000E2698">
        <w:rPr>
          <w:rFonts w:ascii="楷体_GB2312" w:eastAsia="楷体_GB2312" w:hAnsi="宋体" w:cs="宋体"/>
          <w:color w:val="000000" w:themeColor="text1"/>
          <w:kern w:val="0"/>
          <w:szCs w:val="21"/>
        </w:rPr>
        <w:t>为知名的股票指数</w:t>
      </w:r>
      <w:r w:rsidRPr="000E2698">
        <w:rPr>
          <w:rFonts w:ascii="楷体_GB2312" w:eastAsia="楷体_GB2312" w:hAnsi="宋体" w:cs="宋体" w:hint="eastAsia"/>
          <w:color w:val="000000" w:themeColor="text1"/>
          <w:kern w:val="0"/>
          <w:szCs w:val="21"/>
        </w:rPr>
        <w:t>之一。</w:t>
      </w:r>
    </w:p>
    <w:p w:rsidR="00050159" w:rsidRPr="000E2698" w:rsidRDefault="00050159" w:rsidP="00A422E1">
      <w:pPr>
        <w:spacing w:beforeLines="50"/>
        <w:ind w:leftChars="1350" w:left="2835" w:firstLineChars="202" w:firstLine="426"/>
        <w:rPr>
          <w:rFonts w:ascii="楷体_GB2312" w:eastAsia="楷体_GB2312" w:hAnsi="宋体" w:cs="宋体"/>
          <w:color w:val="000000" w:themeColor="text1"/>
          <w:kern w:val="0"/>
          <w:szCs w:val="21"/>
        </w:rPr>
      </w:pPr>
      <w:r w:rsidRPr="000E2698">
        <w:rPr>
          <w:rFonts w:ascii="楷体_GB2312" w:eastAsia="楷体_GB2312" w:hAnsi="宋体" w:cs="宋体" w:hint="eastAsia"/>
          <w:b/>
          <w:color w:val="000000" w:themeColor="text1"/>
          <w:kern w:val="0"/>
          <w:szCs w:val="21"/>
        </w:rPr>
        <w:t>天弘永利B：</w:t>
      </w:r>
      <w:r w:rsidRPr="000E2698">
        <w:rPr>
          <w:rFonts w:ascii="楷体_GB2312" w:eastAsia="楷体_GB2312" w:hAnsi="宋体" w:cs="宋体" w:hint="eastAsia"/>
          <w:color w:val="000000" w:themeColor="text1"/>
          <w:kern w:val="0"/>
          <w:szCs w:val="21"/>
        </w:rPr>
        <w:t>基金定位二级债基，但在实际运作中基本不参与股票市场投资，专注于债券市场投资。券种配置上主要投资于企业债和企业短期融资券。基金业绩长期持续，投资管理能力排名靠前。</w:t>
      </w:r>
    </w:p>
    <w:p w:rsidR="00050159" w:rsidRPr="000E2698" w:rsidRDefault="00050159" w:rsidP="00A422E1">
      <w:pPr>
        <w:spacing w:beforeLines="50"/>
        <w:ind w:leftChars="1350" w:left="2835" w:firstLineChars="202" w:firstLine="426"/>
        <w:rPr>
          <w:rFonts w:ascii="楷体_GB2312" w:eastAsia="楷体_GB2312" w:hAnsi="宋体" w:cs="宋体"/>
          <w:color w:val="000000" w:themeColor="text1"/>
          <w:kern w:val="0"/>
          <w:szCs w:val="21"/>
        </w:rPr>
      </w:pPr>
      <w:r w:rsidRPr="000E2698">
        <w:rPr>
          <w:rFonts w:ascii="楷体_GB2312" w:eastAsia="楷体_GB2312" w:hAnsi="宋体" w:cs="宋体" w:hint="eastAsia"/>
          <w:b/>
          <w:color w:val="000000" w:themeColor="text1"/>
          <w:kern w:val="0"/>
          <w:szCs w:val="21"/>
        </w:rPr>
        <w:t>建信货币：</w:t>
      </w:r>
      <w:r w:rsidRPr="000E2698">
        <w:rPr>
          <w:rFonts w:ascii="楷体_GB2312" w:eastAsia="楷体_GB2312" w:hAnsi="宋体" w:cs="宋体" w:hint="eastAsia"/>
          <w:color w:val="000000" w:themeColor="text1"/>
          <w:kern w:val="0"/>
          <w:szCs w:val="21"/>
        </w:rPr>
        <w:t>基金设立于2006年4月，截至2013年底基金规模</w:t>
      </w:r>
      <w:r w:rsidRPr="000E2698">
        <w:rPr>
          <w:rFonts w:ascii="楷体_GB2312" w:eastAsia="楷体_GB2312" w:hAnsi="宋体" w:cs="宋体"/>
          <w:color w:val="000000" w:themeColor="text1"/>
          <w:kern w:val="0"/>
          <w:szCs w:val="21"/>
        </w:rPr>
        <w:t>295</w:t>
      </w:r>
      <w:r w:rsidRPr="000E2698">
        <w:rPr>
          <w:rFonts w:ascii="楷体_GB2312" w:eastAsia="楷体_GB2312" w:hAnsi="宋体" w:cs="宋体" w:hint="eastAsia"/>
          <w:color w:val="000000" w:themeColor="text1"/>
          <w:kern w:val="0"/>
          <w:szCs w:val="21"/>
        </w:rPr>
        <w:t>亿份，流动性较好，安全性高，历史业绩稳定。</w:t>
      </w:r>
    </w:p>
    <w:p w:rsidR="00050159" w:rsidRPr="000E2698" w:rsidRDefault="00050159" w:rsidP="00A422E1">
      <w:pPr>
        <w:spacing w:beforeLines="50"/>
        <w:ind w:leftChars="1350" w:left="2835" w:firstLineChars="202" w:firstLine="426"/>
        <w:rPr>
          <w:rFonts w:ascii="楷体_GB2312" w:eastAsia="楷体_GB2312" w:hAnsi="宋体" w:cs="宋体"/>
          <w:color w:val="000000" w:themeColor="text1"/>
          <w:kern w:val="0"/>
          <w:szCs w:val="21"/>
        </w:rPr>
      </w:pPr>
      <w:r w:rsidRPr="000E2698">
        <w:rPr>
          <w:rFonts w:ascii="楷体_GB2312" w:eastAsia="楷体_GB2312" w:hAnsi="宋体" w:cs="宋体" w:hint="eastAsia"/>
          <w:b/>
          <w:color w:val="000000" w:themeColor="text1"/>
          <w:kern w:val="0"/>
          <w:szCs w:val="21"/>
        </w:rPr>
        <w:t>华夏现金A：</w:t>
      </w:r>
      <w:r w:rsidRPr="000E2698">
        <w:rPr>
          <w:rFonts w:ascii="楷体_GB2312" w:eastAsia="楷体_GB2312" w:hAnsi="宋体" w:cs="宋体" w:hint="eastAsia"/>
          <w:color w:val="000000" w:themeColor="text1"/>
          <w:kern w:val="0"/>
          <w:szCs w:val="21"/>
        </w:rPr>
        <w:t>基金设立于04年4月，截至2013年底基金规模</w:t>
      </w:r>
      <w:r w:rsidRPr="000E2698">
        <w:rPr>
          <w:rFonts w:ascii="楷体_GB2312" w:eastAsia="楷体_GB2312" w:hAnsi="宋体" w:cs="宋体"/>
          <w:color w:val="000000" w:themeColor="text1"/>
          <w:kern w:val="0"/>
          <w:szCs w:val="21"/>
        </w:rPr>
        <w:t>4</w:t>
      </w:r>
      <w:r w:rsidRPr="000E2698">
        <w:rPr>
          <w:rFonts w:ascii="楷体_GB2312" w:eastAsia="楷体_GB2312" w:hAnsi="宋体" w:cs="宋体" w:hint="eastAsia"/>
          <w:color w:val="000000" w:themeColor="text1"/>
          <w:kern w:val="0"/>
          <w:szCs w:val="21"/>
        </w:rPr>
        <w:t>37亿份，属于市场中规模最大的货币市场基金之一，流动性较好，历史管理业绩优秀。基金经理曲波管理该基金超过三年，经验丰富。</w:t>
      </w:r>
    </w:p>
    <w:p w:rsidR="00050159" w:rsidRPr="000E2698" w:rsidRDefault="00050159" w:rsidP="00A422E1">
      <w:pPr>
        <w:spacing w:beforeLines="50"/>
        <w:ind w:leftChars="1350" w:left="2835" w:firstLineChars="202" w:firstLine="426"/>
        <w:rPr>
          <w:rFonts w:ascii="楷体_GB2312" w:eastAsia="楷体_GB2312" w:hAnsi="宋体" w:cs="宋体"/>
          <w:color w:val="000000" w:themeColor="text1"/>
          <w:kern w:val="0"/>
          <w:szCs w:val="21"/>
        </w:rPr>
      </w:pPr>
      <w:r w:rsidRPr="000E2698">
        <w:rPr>
          <w:rFonts w:ascii="楷体_GB2312" w:eastAsia="楷体_GB2312" w:hAnsi="宋体" w:cs="宋体" w:hint="eastAsia"/>
          <w:b/>
          <w:color w:val="000000" w:themeColor="text1"/>
          <w:kern w:val="0"/>
          <w:szCs w:val="21"/>
        </w:rPr>
        <w:t>广发货币B：</w:t>
      </w:r>
      <w:r w:rsidRPr="000E2698">
        <w:rPr>
          <w:rFonts w:ascii="楷体_GB2312" w:eastAsia="楷体_GB2312" w:hAnsi="宋体" w:cs="宋体" w:hint="eastAsia"/>
          <w:color w:val="000000" w:themeColor="text1"/>
          <w:kern w:val="0"/>
          <w:szCs w:val="21"/>
        </w:rPr>
        <w:t>基金设立于05年5月，截至2013底，基金A、B份额合计263亿份，流动性较好，历史管理业绩优秀，已连续三年超过一年定期存款和同期货币市场基金平均收益。</w:t>
      </w:r>
    </w:p>
    <w:p w:rsidR="00A3457F" w:rsidRPr="00715274" w:rsidRDefault="005E4592" w:rsidP="00141178">
      <w:pPr>
        <w:pageBreakBefore/>
        <w:ind w:firstLineChars="1000" w:firstLine="2811"/>
        <w:rPr>
          <w:rFonts w:ascii="黑体" w:eastAsia="黑体" w:hAnsi="宋体-18030" w:cs="宋体-18030"/>
          <w:b/>
          <w:bCs/>
          <w:color w:val="000000"/>
          <w:kern w:val="44"/>
          <w:sz w:val="28"/>
          <w:szCs w:val="28"/>
        </w:rPr>
      </w:pPr>
      <w:r>
        <w:rPr>
          <w:rFonts w:ascii="黑体" w:eastAsia="黑体" w:hAnsi="宋体-18030" w:cs="宋体-18030" w:hint="eastAsia"/>
          <w:b/>
          <w:bCs/>
          <w:color w:val="000000"/>
          <w:kern w:val="44"/>
          <w:sz w:val="28"/>
          <w:szCs w:val="28"/>
        </w:rPr>
        <w:lastRenderedPageBreak/>
        <w:t>二</w:t>
      </w:r>
      <w:r w:rsidR="004938DD">
        <w:rPr>
          <w:rFonts w:ascii="黑体" w:eastAsia="黑体" w:hAnsi="宋体-18030" w:cs="宋体-18030" w:hint="eastAsia"/>
          <w:b/>
          <w:bCs/>
          <w:color w:val="000000"/>
          <w:kern w:val="44"/>
          <w:sz w:val="28"/>
          <w:szCs w:val="28"/>
        </w:rPr>
        <w:t>、</w:t>
      </w:r>
      <w:r w:rsidR="00804862" w:rsidRPr="00715274">
        <w:rPr>
          <w:rFonts w:ascii="黑体" w:eastAsia="黑体" w:hAnsi="宋体-18030" w:cs="宋体-18030" w:hint="eastAsia"/>
          <w:b/>
          <w:bCs/>
          <w:color w:val="000000"/>
          <w:kern w:val="44"/>
          <w:sz w:val="28"/>
          <w:szCs w:val="28"/>
        </w:rPr>
        <w:t>市场回顾</w:t>
      </w:r>
    </w:p>
    <w:p w:rsidR="00742E0D" w:rsidRPr="005E4592" w:rsidRDefault="00217C1F" w:rsidP="00A422E1">
      <w:pPr>
        <w:spacing w:beforeLines="100" w:afterLines="50"/>
        <w:ind w:leftChars="1350" w:left="2835" w:firstLineChars="196" w:firstLine="472"/>
        <w:rPr>
          <w:rFonts w:ascii="黑体" w:eastAsia="黑体" w:hAnsi="宋体-18030" w:cs="宋体-18030"/>
          <w:b/>
          <w:bCs/>
          <w:color w:val="003366"/>
          <w:kern w:val="44"/>
          <w:sz w:val="24"/>
        </w:rPr>
      </w:pPr>
      <w:r w:rsidRPr="005E4592">
        <w:rPr>
          <w:rFonts w:ascii="黑体" w:eastAsia="黑体" w:hAnsi="宋体-18030" w:cs="宋体-18030" w:hint="eastAsia"/>
          <w:b/>
          <w:bCs/>
          <w:color w:val="003366"/>
          <w:kern w:val="44"/>
          <w:sz w:val="24"/>
        </w:rPr>
        <w:t>（一）基础市场回顾：</w:t>
      </w:r>
      <w:r w:rsidR="00312FDC" w:rsidRPr="005E4592">
        <w:rPr>
          <w:rFonts w:ascii="黑体" w:eastAsia="黑体" w:hAnsi="宋体-18030" w:cs="宋体-18030" w:hint="eastAsia"/>
          <w:b/>
          <w:bCs/>
          <w:color w:val="003366"/>
          <w:kern w:val="44"/>
          <w:sz w:val="24"/>
        </w:rPr>
        <w:t>股市</w:t>
      </w:r>
      <w:r w:rsidR="005C4BA9" w:rsidRPr="005E4592">
        <w:rPr>
          <w:rFonts w:ascii="黑体" w:eastAsia="黑体" w:hAnsi="宋体-18030" w:cs="宋体-18030" w:hint="eastAsia"/>
          <w:b/>
          <w:bCs/>
          <w:color w:val="003366"/>
          <w:kern w:val="44"/>
          <w:sz w:val="24"/>
        </w:rPr>
        <w:t>先扬后抑</w:t>
      </w:r>
      <w:r w:rsidR="00BA01BC" w:rsidRPr="005E4592">
        <w:rPr>
          <w:rFonts w:ascii="黑体" w:eastAsia="黑体" w:hAnsi="宋体-18030" w:cs="宋体-18030" w:hint="eastAsia"/>
          <w:b/>
          <w:bCs/>
          <w:color w:val="003366"/>
          <w:kern w:val="44"/>
          <w:sz w:val="24"/>
        </w:rPr>
        <w:t>，</w:t>
      </w:r>
      <w:r w:rsidR="00312FDC" w:rsidRPr="005E4592">
        <w:rPr>
          <w:rFonts w:ascii="黑体" w:eastAsia="黑体" w:hAnsi="宋体-18030" w:cs="宋体-18030" w:hint="eastAsia"/>
          <w:b/>
          <w:bCs/>
          <w:color w:val="003366"/>
          <w:kern w:val="44"/>
          <w:sz w:val="24"/>
        </w:rPr>
        <w:t>债市收益率曲线陡峭化下移</w:t>
      </w:r>
    </w:p>
    <w:p w:rsidR="003746A0" w:rsidRPr="003A2393" w:rsidRDefault="005C4BA9" w:rsidP="00A422E1">
      <w:pPr>
        <w:spacing w:beforeLines="50"/>
        <w:ind w:leftChars="1350" w:left="2835" w:firstLineChars="202" w:firstLine="424"/>
        <w:rPr>
          <w:rFonts w:ascii="楷体_GB2312" w:eastAsia="楷体_GB2312" w:hAnsi="宋体" w:cs="宋体"/>
          <w:kern w:val="0"/>
          <w:szCs w:val="21"/>
        </w:rPr>
      </w:pPr>
      <w:r w:rsidRPr="003A2393">
        <w:rPr>
          <w:rFonts w:ascii="楷体_GB2312" w:eastAsia="楷体_GB2312" w:hAnsi="宋体" w:cs="宋体" w:hint="eastAsia"/>
          <w:kern w:val="0"/>
          <w:szCs w:val="21"/>
        </w:rPr>
        <w:t>2月</w:t>
      </w:r>
      <w:r w:rsidR="00BA1935" w:rsidRPr="003A2393">
        <w:rPr>
          <w:rFonts w:ascii="楷体_GB2312" w:eastAsia="楷体_GB2312" w:hAnsi="宋体" w:cs="宋体" w:hint="eastAsia"/>
          <w:kern w:val="0"/>
          <w:szCs w:val="21"/>
        </w:rPr>
        <w:t>中上旬，</w:t>
      </w:r>
      <w:r w:rsidRPr="003A2393">
        <w:rPr>
          <w:rFonts w:ascii="楷体_GB2312" w:eastAsia="楷体_GB2312" w:hAnsi="宋体" w:cs="宋体" w:hint="eastAsia"/>
          <w:kern w:val="0"/>
          <w:szCs w:val="21"/>
        </w:rPr>
        <w:t>受改革预期</w:t>
      </w:r>
      <w:r w:rsidR="00C23DAD" w:rsidRPr="003A2393">
        <w:rPr>
          <w:rFonts w:ascii="楷体_GB2312" w:eastAsia="楷体_GB2312" w:hAnsi="宋体" w:cs="宋体" w:hint="eastAsia"/>
          <w:kern w:val="0"/>
          <w:szCs w:val="21"/>
        </w:rPr>
        <w:t>的推动，股市</w:t>
      </w:r>
      <w:r w:rsidR="00BA1935" w:rsidRPr="003A2393">
        <w:rPr>
          <w:rFonts w:ascii="楷体_GB2312" w:eastAsia="楷体_GB2312" w:hAnsi="宋体" w:cs="宋体" w:hint="eastAsia"/>
          <w:kern w:val="0"/>
          <w:szCs w:val="21"/>
        </w:rPr>
        <w:t>延续</w:t>
      </w:r>
      <w:r w:rsidRPr="003A2393">
        <w:rPr>
          <w:rFonts w:ascii="楷体_GB2312" w:eastAsia="楷体_GB2312" w:hAnsi="宋体" w:cs="宋体" w:hint="eastAsia"/>
          <w:kern w:val="0"/>
          <w:szCs w:val="21"/>
        </w:rPr>
        <w:t>1</w:t>
      </w:r>
      <w:r w:rsidR="00BA1935" w:rsidRPr="003A2393">
        <w:rPr>
          <w:rFonts w:ascii="楷体_GB2312" w:eastAsia="楷体_GB2312" w:hAnsi="宋体" w:cs="宋体" w:hint="eastAsia"/>
          <w:kern w:val="0"/>
          <w:szCs w:val="21"/>
        </w:rPr>
        <w:t>月份的</w:t>
      </w:r>
      <w:r w:rsidRPr="003A2393">
        <w:rPr>
          <w:rFonts w:ascii="楷体_GB2312" w:eastAsia="楷体_GB2312" w:hAnsi="宋体" w:cs="宋体" w:hint="eastAsia"/>
          <w:kern w:val="0"/>
          <w:szCs w:val="21"/>
        </w:rPr>
        <w:t>反弹</w:t>
      </w:r>
      <w:r w:rsidR="00C23DAD" w:rsidRPr="003A2393">
        <w:rPr>
          <w:rFonts w:ascii="楷体_GB2312" w:eastAsia="楷体_GB2312" w:hAnsi="宋体" w:cs="宋体" w:hint="eastAsia"/>
          <w:kern w:val="0"/>
          <w:szCs w:val="21"/>
        </w:rPr>
        <w:t>。</w:t>
      </w:r>
      <w:r w:rsidR="003B4257" w:rsidRPr="003A2393">
        <w:rPr>
          <w:rFonts w:ascii="楷体_GB2312" w:eastAsia="楷体_GB2312" w:hAnsi="宋体" w:cs="宋体" w:hint="eastAsia"/>
          <w:kern w:val="0"/>
          <w:szCs w:val="21"/>
        </w:rPr>
        <w:t>但市场关于</w:t>
      </w:r>
      <w:r w:rsidR="00425550" w:rsidRPr="003A2393">
        <w:rPr>
          <w:rFonts w:ascii="楷体_GB2312" w:eastAsia="楷体_GB2312" w:hAnsi="宋体" w:cs="宋体" w:hint="eastAsia"/>
          <w:kern w:val="0"/>
          <w:szCs w:val="21"/>
        </w:rPr>
        <w:t>“</w:t>
      </w:r>
      <w:r w:rsidR="003B4257" w:rsidRPr="003A2393">
        <w:rPr>
          <w:rFonts w:ascii="楷体_GB2312" w:eastAsia="楷体_GB2312" w:hAnsi="宋体" w:cs="宋体" w:hint="eastAsia"/>
          <w:kern w:val="0"/>
          <w:szCs w:val="21"/>
        </w:rPr>
        <w:t>房地产</w:t>
      </w:r>
      <w:r w:rsidR="00AA242D" w:rsidRPr="003A2393">
        <w:rPr>
          <w:rFonts w:ascii="楷体_GB2312" w:eastAsia="楷体_GB2312" w:hAnsi="宋体" w:cs="宋体" w:hint="eastAsia"/>
          <w:kern w:val="0"/>
          <w:szCs w:val="21"/>
        </w:rPr>
        <w:t>贷款收缩</w:t>
      </w:r>
      <w:r w:rsidR="00425550" w:rsidRPr="003A2393">
        <w:rPr>
          <w:rFonts w:ascii="楷体_GB2312" w:eastAsia="楷体_GB2312" w:hAnsi="宋体" w:cs="宋体" w:hint="eastAsia"/>
          <w:kern w:val="0"/>
          <w:szCs w:val="21"/>
        </w:rPr>
        <w:t>“</w:t>
      </w:r>
      <w:r w:rsidR="00AA242D" w:rsidRPr="003A2393">
        <w:rPr>
          <w:rFonts w:ascii="楷体_GB2312" w:eastAsia="楷体_GB2312" w:hAnsi="宋体" w:cs="宋体" w:hint="eastAsia"/>
          <w:kern w:val="0"/>
          <w:szCs w:val="21"/>
        </w:rPr>
        <w:t>的信息迅速冲击市场信心，股票市场掉头向下</w:t>
      </w:r>
      <w:r w:rsidR="00425550" w:rsidRPr="003A2393">
        <w:rPr>
          <w:rFonts w:ascii="楷体_GB2312" w:eastAsia="楷体_GB2312" w:hAnsi="宋体" w:cs="宋体" w:hint="eastAsia"/>
          <w:kern w:val="0"/>
          <w:szCs w:val="21"/>
        </w:rPr>
        <w:t>，全月上证指数上涨</w:t>
      </w:r>
      <w:r w:rsidR="00425550" w:rsidRPr="003A2393">
        <w:rPr>
          <w:rFonts w:ascii="楷体_GB2312" w:eastAsia="楷体_GB2312" w:hAnsi="宋体" w:cs="宋体"/>
          <w:kern w:val="0"/>
          <w:szCs w:val="21"/>
        </w:rPr>
        <w:t>1.14</w:t>
      </w:r>
      <w:r w:rsidR="00425550" w:rsidRPr="003A2393">
        <w:rPr>
          <w:rFonts w:ascii="楷体_GB2312" w:eastAsia="楷体_GB2312" w:hAnsi="宋体" w:cs="宋体" w:hint="eastAsia"/>
          <w:kern w:val="0"/>
          <w:szCs w:val="21"/>
        </w:rPr>
        <w:t>%、深圳综指上涨</w:t>
      </w:r>
      <w:r w:rsidR="00425550" w:rsidRPr="003A2393">
        <w:rPr>
          <w:rFonts w:ascii="楷体_GB2312" w:eastAsia="楷体_GB2312" w:hAnsi="宋体" w:cs="宋体"/>
          <w:kern w:val="0"/>
          <w:szCs w:val="21"/>
        </w:rPr>
        <w:t>0.89</w:t>
      </w:r>
      <w:r w:rsidR="00425550" w:rsidRPr="003A2393">
        <w:rPr>
          <w:rFonts w:ascii="楷体_GB2312" w:eastAsia="楷体_GB2312" w:hAnsi="宋体" w:cs="宋体" w:hint="eastAsia"/>
          <w:kern w:val="0"/>
          <w:szCs w:val="21"/>
        </w:rPr>
        <w:t>%，创业板出现调整，全月下跌</w:t>
      </w:r>
      <w:r w:rsidR="00425550" w:rsidRPr="003A2393">
        <w:rPr>
          <w:rFonts w:ascii="楷体_GB2312" w:eastAsia="楷体_GB2312" w:hAnsi="宋体" w:cs="宋体"/>
          <w:kern w:val="0"/>
          <w:szCs w:val="21"/>
        </w:rPr>
        <w:t>4.08</w:t>
      </w:r>
      <w:r w:rsidR="00425550" w:rsidRPr="003A2393">
        <w:rPr>
          <w:rFonts w:ascii="楷体_GB2312" w:eastAsia="楷体_GB2312" w:hAnsi="宋体" w:cs="宋体" w:hint="eastAsia"/>
          <w:kern w:val="0"/>
          <w:szCs w:val="21"/>
        </w:rPr>
        <w:t>%。</w:t>
      </w:r>
    </w:p>
    <w:tbl>
      <w:tblPr>
        <w:tblW w:w="9356" w:type="dxa"/>
        <w:tblInd w:w="-34" w:type="dxa"/>
        <w:tblLayout w:type="fixed"/>
        <w:tblLook w:val="04A0"/>
      </w:tblPr>
      <w:tblGrid>
        <w:gridCol w:w="4678"/>
        <w:gridCol w:w="142"/>
        <w:gridCol w:w="4536"/>
      </w:tblGrid>
      <w:tr w:rsidR="006A2497" w:rsidRPr="00051DF8" w:rsidTr="00362A1B">
        <w:tc>
          <w:tcPr>
            <w:tcW w:w="4820" w:type="dxa"/>
            <w:gridSpan w:val="2"/>
            <w:tcBorders>
              <w:bottom w:val="single" w:sz="4" w:space="0" w:color="FF0000"/>
            </w:tcBorders>
          </w:tcPr>
          <w:p w:rsidR="006A2497" w:rsidRPr="00144B03" w:rsidRDefault="006A2497" w:rsidP="005E24D9">
            <w:pPr>
              <w:spacing w:line="360" w:lineRule="auto"/>
              <w:ind w:left="33" w:hangingChars="18" w:hanging="33"/>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1</w:t>
            </w:r>
            <w:r w:rsidRPr="00144B03">
              <w:rPr>
                <w:rFonts w:ascii="楷体_GB2312" w:eastAsia="楷体_GB2312" w:hint="eastAsia"/>
                <w:b/>
                <w:color w:val="000000"/>
                <w:sz w:val="18"/>
                <w:szCs w:val="18"/>
              </w:rPr>
              <w:t>、</w:t>
            </w:r>
            <w:r w:rsidR="000C19E7" w:rsidRPr="00144B03">
              <w:rPr>
                <w:rFonts w:ascii="楷体_GB2312" w:eastAsia="楷体_GB2312" w:hint="eastAsia"/>
                <w:b/>
                <w:color w:val="000000"/>
                <w:sz w:val="18"/>
                <w:szCs w:val="18"/>
              </w:rPr>
              <w:t>本月</w:t>
            </w:r>
            <w:r w:rsidR="00C23DAD" w:rsidRPr="00144B03">
              <w:rPr>
                <w:rFonts w:ascii="楷体_GB2312" w:eastAsia="楷体_GB2312" w:hint="eastAsia"/>
                <w:b/>
                <w:color w:val="000000"/>
                <w:sz w:val="18"/>
                <w:szCs w:val="18"/>
              </w:rPr>
              <w:t>沪深两市</w:t>
            </w:r>
            <w:r w:rsidR="005F0468" w:rsidRPr="00144B03">
              <w:rPr>
                <w:rFonts w:ascii="楷体_GB2312" w:eastAsia="楷体_GB2312" w:hint="eastAsia"/>
                <w:b/>
                <w:color w:val="000000"/>
                <w:sz w:val="18"/>
                <w:szCs w:val="18"/>
              </w:rPr>
              <w:t>累计涨幅</w:t>
            </w:r>
            <w:r w:rsidR="000C19E7" w:rsidRPr="00144B03">
              <w:rPr>
                <w:rFonts w:ascii="楷体_GB2312" w:eastAsia="楷体_GB2312" w:hint="eastAsia"/>
                <w:b/>
                <w:color w:val="000000"/>
                <w:sz w:val="18"/>
                <w:szCs w:val="18"/>
              </w:rPr>
              <w:t>（%）</w:t>
            </w:r>
          </w:p>
        </w:tc>
        <w:tc>
          <w:tcPr>
            <w:tcW w:w="4536" w:type="dxa"/>
            <w:tcBorders>
              <w:bottom w:val="single" w:sz="4" w:space="0" w:color="FF0000"/>
            </w:tcBorders>
          </w:tcPr>
          <w:p w:rsidR="006A2497" w:rsidRPr="00144B03" w:rsidRDefault="006A2497" w:rsidP="005E24D9">
            <w:pPr>
              <w:spacing w:line="360" w:lineRule="auto"/>
              <w:ind w:left="4017" w:hangingChars="2223" w:hanging="4017"/>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2</w:t>
            </w:r>
            <w:r w:rsidRPr="00144B03">
              <w:rPr>
                <w:rFonts w:ascii="楷体_GB2312" w:eastAsia="楷体_GB2312" w:hint="eastAsia"/>
                <w:b/>
                <w:color w:val="000000"/>
                <w:sz w:val="18"/>
                <w:szCs w:val="18"/>
              </w:rPr>
              <w:t>、</w:t>
            </w:r>
            <w:r w:rsidR="000C19E7" w:rsidRPr="00144B03">
              <w:rPr>
                <w:rFonts w:ascii="楷体_GB2312" w:eastAsia="楷体_GB2312" w:hint="eastAsia"/>
                <w:b/>
                <w:color w:val="000000"/>
                <w:sz w:val="18"/>
                <w:szCs w:val="18"/>
              </w:rPr>
              <w:t>最近12月沪深两市涨跌幅（%）</w:t>
            </w:r>
          </w:p>
        </w:tc>
      </w:tr>
      <w:tr w:rsidR="006A2497" w:rsidRPr="00B22D95" w:rsidTr="00F36E40">
        <w:tc>
          <w:tcPr>
            <w:tcW w:w="4678" w:type="dxa"/>
            <w:tcBorders>
              <w:top w:val="single" w:sz="4" w:space="0" w:color="FF0000"/>
              <w:bottom w:val="single" w:sz="4" w:space="0" w:color="FF0000"/>
            </w:tcBorders>
          </w:tcPr>
          <w:p w:rsidR="006A2497" w:rsidRPr="00B22D95" w:rsidRDefault="005F0468" w:rsidP="00362A1B">
            <w:pPr>
              <w:spacing w:line="360" w:lineRule="auto"/>
              <w:ind w:leftChars="16" w:left="34"/>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902280" cy="1847394"/>
                  <wp:effectExtent l="1905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srcRect/>
                          <a:stretch>
                            <a:fillRect/>
                          </a:stretch>
                        </pic:blipFill>
                        <pic:spPr bwMode="auto">
                          <a:xfrm>
                            <a:off x="0" y="0"/>
                            <a:ext cx="2902997" cy="1847850"/>
                          </a:xfrm>
                          <a:prstGeom prst="rect">
                            <a:avLst/>
                          </a:prstGeom>
                          <a:noFill/>
                          <a:ln w="9525">
                            <a:noFill/>
                            <a:miter lim="800000"/>
                            <a:headEnd/>
                            <a:tailEnd/>
                          </a:ln>
                        </pic:spPr>
                      </pic:pic>
                    </a:graphicData>
                  </a:graphic>
                </wp:inline>
              </w:drawing>
            </w:r>
          </w:p>
        </w:tc>
        <w:tc>
          <w:tcPr>
            <w:tcW w:w="4678" w:type="dxa"/>
            <w:gridSpan w:val="2"/>
            <w:tcBorders>
              <w:top w:val="single" w:sz="4" w:space="0" w:color="FF0000"/>
              <w:bottom w:val="single" w:sz="4" w:space="0" w:color="FF0000"/>
            </w:tcBorders>
          </w:tcPr>
          <w:p w:rsidR="006A2497" w:rsidRPr="00B22D95" w:rsidRDefault="00F36E40" w:rsidP="000C19E7">
            <w:pPr>
              <w:spacing w:line="360" w:lineRule="auto"/>
              <w:ind w:left="1" w:firstLineChars="18" w:firstLine="32"/>
              <w:jc w:val="right"/>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86075" cy="1943100"/>
                  <wp:effectExtent l="19050" t="0" r="9525"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srcRect/>
                          <a:stretch>
                            <a:fillRect/>
                          </a:stretch>
                        </pic:blipFill>
                        <pic:spPr bwMode="auto">
                          <a:xfrm>
                            <a:off x="0" y="0"/>
                            <a:ext cx="2886075" cy="1943100"/>
                          </a:xfrm>
                          <a:prstGeom prst="rect">
                            <a:avLst/>
                          </a:prstGeom>
                          <a:noFill/>
                          <a:ln w="9525">
                            <a:noFill/>
                            <a:miter lim="800000"/>
                            <a:headEnd/>
                            <a:tailEnd/>
                          </a:ln>
                        </pic:spPr>
                      </pic:pic>
                    </a:graphicData>
                  </a:graphic>
                </wp:inline>
              </w:drawing>
            </w:r>
          </w:p>
        </w:tc>
      </w:tr>
    </w:tbl>
    <w:p w:rsidR="005578EC" w:rsidRPr="00156066" w:rsidRDefault="00564B59" w:rsidP="001914BE">
      <w:pPr>
        <w:rPr>
          <w:rFonts w:ascii="楷体_GB2312" w:eastAsia="楷体_GB2312"/>
          <w:noProof/>
          <w:color w:val="000000"/>
        </w:rPr>
      </w:pPr>
      <w:r>
        <w:rPr>
          <w:rFonts w:ascii="楷体_GB2312" w:eastAsia="楷体_GB2312" w:hint="eastAsia"/>
          <w:noProof/>
          <w:color w:val="000000"/>
        </w:rPr>
        <w:t>来源：</w:t>
      </w:r>
      <w:r w:rsidR="005578EC" w:rsidRPr="00156066">
        <w:rPr>
          <w:rFonts w:ascii="楷体_GB2312" w:eastAsia="楷体_GB2312" w:hint="eastAsia"/>
          <w:noProof/>
          <w:color w:val="000000"/>
        </w:rPr>
        <w:t>wind</w:t>
      </w:r>
      <w:r w:rsidR="005578EC">
        <w:rPr>
          <w:rFonts w:ascii="楷体_GB2312" w:eastAsia="楷体_GB2312" w:hint="eastAsia"/>
          <w:noProof/>
          <w:color w:val="000000"/>
        </w:rPr>
        <w:t>，</w:t>
      </w:r>
      <w:r w:rsidR="005578EC" w:rsidRPr="00156066">
        <w:rPr>
          <w:rFonts w:ascii="楷体_GB2312" w:eastAsia="楷体_GB2312" w:hint="eastAsia"/>
          <w:noProof/>
          <w:color w:val="000000"/>
        </w:rPr>
        <w:t>上海证券基金评价研究中心</w:t>
      </w:r>
    </w:p>
    <w:p w:rsidR="005E032A" w:rsidRPr="003A2393" w:rsidRDefault="00170214" w:rsidP="00A422E1">
      <w:pPr>
        <w:spacing w:beforeLines="50"/>
        <w:ind w:leftChars="1350" w:left="2835" w:firstLineChars="202" w:firstLine="424"/>
        <w:rPr>
          <w:rFonts w:ascii="楷体_GB2312" w:eastAsia="楷体_GB2312" w:hAnsi="宋体" w:cs="宋体"/>
          <w:kern w:val="0"/>
          <w:szCs w:val="21"/>
        </w:rPr>
      </w:pPr>
      <w:r w:rsidRPr="003A2393">
        <w:rPr>
          <w:rFonts w:ascii="楷体_GB2312" w:eastAsia="楷体_GB2312" w:hAnsi="宋体" w:cs="宋体" w:hint="eastAsia"/>
          <w:kern w:val="0"/>
          <w:szCs w:val="21"/>
        </w:rPr>
        <w:t>主板市场</w:t>
      </w:r>
      <w:r w:rsidR="00113CD9" w:rsidRPr="003A2393">
        <w:rPr>
          <w:rFonts w:ascii="楷体_GB2312" w:eastAsia="楷体_GB2312" w:hAnsi="宋体" w:cs="宋体" w:hint="eastAsia"/>
          <w:kern w:val="0"/>
          <w:szCs w:val="21"/>
        </w:rPr>
        <w:t>继续演绎“马太效应”，</w:t>
      </w:r>
      <w:r w:rsidR="005E032A" w:rsidRPr="003A2393">
        <w:rPr>
          <w:rFonts w:ascii="楷体_GB2312" w:eastAsia="楷体_GB2312" w:hAnsi="宋体" w:cs="宋体" w:hint="eastAsia"/>
          <w:kern w:val="0"/>
          <w:szCs w:val="21"/>
        </w:rPr>
        <w:t>高市盈率指数走强于中低市盈率指数。小盘指数走强于中大盘市盈率指数。事实上，这一市场结构化演绎已经延续数年。</w:t>
      </w:r>
    </w:p>
    <w:tbl>
      <w:tblPr>
        <w:tblW w:w="9356" w:type="dxa"/>
        <w:tblInd w:w="-34" w:type="dxa"/>
        <w:tblLayout w:type="fixed"/>
        <w:tblLook w:val="04A0"/>
      </w:tblPr>
      <w:tblGrid>
        <w:gridCol w:w="4678"/>
        <w:gridCol w:w="142"/>
        <w:gridCol w:w="4536"/>
      </w:tblGrid>
      <w:tr w:rsidR="0051039B" w:rsidRPr="00051DF8" w:rsidTr="00A422E1">
        <w:tc>
          <w:tcPr>
            <w:tcW w:w="4820" w:type="dxa"/>
            <w:gridSpan w:val="2"/>
            <w:tcBorders>
              <w:bottom w:val="single" w:sz="4" w:space="0" w:color="FF0000"/>
            </w:tcBorders>
          </w:tcPr>
          <w:p w:rsidR="0051039B" w:rsidRPr="00144B03" w:rsidRDefault="0051039B" w:rsidP="005E24D9">
            <w:pPr>
              <w:spacing w:line="360" w:lineRule="auto"/>
              <w:ind w:left="33" w:hangingChars="18" w:hanging="33"/>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3</w:t>
            </w:r>
            <w:r w:rsidRPr="00144B03">
              <w:rPr>
                <w:rFonts w:ascii="楷体_GB2312" w:eastAsia="楷体_GB2312" w:hint="eastAsia"/>
                <w:b/>
                <w:color w:val="000000"/>
                <w:sz w:val="18"/>
                <w:szCs w:val="18"/>
              </w:rPr>
              <w:t>、</w:t>
            </w:r>
            <w:r w:rsidR="00B25033" w:rsidRPr="00144B03">
              <w:rPr>
                <w:rFonts w:ascii="楷体_GB2312" w:eastAsia="楷体_GB2312" w:hint="eastAsia"/>
                <w:b/>
                <w:color w:val="000000"/>
                <w:sz w:val="18"/>
                <w:szCs w:val="18"/>
              </w:rPr>
              <w:t>本月申万市场风格指数涨跌幅</w:t>
            </w:r>
            <w:r w:rsidRPr="00144B03">
              <w:rPr>
                <w:rFonts w:ascii="楷体_GB2312" w:eastAsia="楷体_GB2312" w:hint="eastAsia"/>
                <w:b/>
                <w:color w:val="000000"/>
                <w:sz w:val="18"/>
                <w:szCs w:val="18"/>
              </w:rPr>
              <w:t>（%）</w:t>
            </w:r>
          </w:p>
        </w:tc>
        <w:tc>
          <w:tcPr>
            <w:tcW w:w="4536" w:type="dxa"/>
            <w:tcBorders>
              <w:bottom w:val="single" w:sz="4" w:space="0" w:color="FF0000"/>
            </w:tcBorders>
          </w:tcPr>
          <w:p w:rsidR="0051039B" w:rsidRPr="00144B03" w:rsidRDefault="0051039B" w:rsidP="005E24D9">
            <w:pPr>
              <w:spacing w:line="360" w:lineRule="auto"/>
              <w:ind w:left="4017" w:hangingChars="2223" w:hanging="4017"/>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4</w:t>
            </w:r>
            <w:r w:rsidRPr="00144B03">
              <w:rPr>
                <w:rFonts w:ascii="楷体_GB2312" w:eastAsia="楷体_GB2312" w:hint="eastAsia"/>
                <w:b/>
                <w:color w:val="000000"/>
                <w:sz w:val="18"/>
                <w:szCs w:val="18"/>
              </w:rPr>
              <w:t>、</w:t>
            </w:r>
            <w:r w:rsidR="00B25033" w:rsidRPr="00144B03">
              <w:rPr>
                <w:rFonts w:ascii="楷体_GB2312" w:eastAsia="楷体_GB2312" w:hint="eastAsia"/>
                <w:b/>
                <w:color w:val="000000"/>
                <w:sz w:val="18"/>
                <w:szCs w:val="18"/>
              </w:rPr>
              <w:t>本月申万</w:t>
            </w:r>
            <w:r w:rsidR="004264FD" w:rsidRPr="00144B03">
              <w:rPr>
                <w:rFonts w:ascii="楷体_GB2312" w:eastAsia="楷体_GB2312" w:hint="eastAsia"/>
                <w:b/>
                <w:color w:val="000000"/>
                <w:sz w:val="18"/>
                <w:szCs w:val="18"/>
              </w:rPr>
              <w:t>一级</w:t>
            </w:r>
            <w:r w:rsidR="00B25033" w:rsidRPr="00144B03">
              <w:rPr>
                <w:rFonts w:ascii="楷体_GB2312" w:eastAsia="楷体_GB2312" w:hint="eastAsia"/>
                <w:b/>
                <w:color w:val="000000"/>
                <w:sz w:val="18"/>
                <w:szCs w:val="18"/>
              </w:rPr>
              <w:t>行业指数涨跌幅（</w:t>
            </w:r>
            <w:r w:rsidRPr="00144B03">
              <w:rPr>
                <w:rFonts w:ascii="楷体_GB2312" w:eastAsia="楷体_GB2312" w:hint="eastAsia"/>
                <w:b/>
                <w:color w:val="000000"/>
                <w:sz w:val="18"/>
                <w:szCs w:val="18"/>
              </w:rPr>
              <w:t>%）</w:t>
            </w:r>
          </w:p>
        </w:tc>
      </w:tr>
      <w:tr w:rsidR="0051039B" w:rsidRPr="00B22D95" w:rsidTr="00E51C5B">
        <w:tc>
          <w:tcPr>
            <w:tcW w:w="4678" w:type="dxa"/>
            <w:tcBorders>
              <w:top w:val="single" w:sz="4" w:space="0" w:color="FF0000"/>
              <w:bottom w:val="single" w:sz="4" w:space="0" w:color="FF0000"/>
            </w:tcBorders>
          </w:tcPr>
          <w:p w:rsidR="0051039B" w:rsidRPr="00B22D95" w:rsidRDefault="0051039B" w:rsidP="00A422E1">
            <w:pPr>
              <w:spacing w:line="360" w:lineRule="auto"/>
              <w:ind w:leftChars="16" w:left="34"/>
              <w:rPr>
                <w:rFonts w:ascii="楷体_GB2312" w:eastAsia="楷体_GB2312"/>
                <w:color w:val="000000"/>
                <w:sz w:val="18"/>
                <w:szCs w:val="18"/>
              </w:rPr>
            </w:pPr>
            <w:r w:rsidRPr="0051039B">
              <w:rPr>
                <w:rFonts w:ascii="楷体_GB2312" w:eastAsia="楷体_GB2312"/>
                <w:noProof/>
                <w:color w:val="000000"/>
                <w:sz w:val="18"/>
                <w:szCs w:val="18"/>
              </w:rPr>
              <w:drawing>
                <wp:inline distT="0" distB="0" distL="0" distR="0">
                  <wp:extent cx="2866667" cy="1895238"/>
                  <wp:effectExtent l="19050" t="0" r="0" b="0"/>
                  <wp:docPr id="3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866667" cy="1895238"/>
                          </a:xfrm>
                          <a:prstGeom prst="rect">
                            <a:avLst/>
                          </a:prstGeom>
                        </pic:spPr>
                      </pic:pic>
                    </a:graphicData>
                  </a:graphic>
                </wp:inline>
              </w:drawing>
            </w:r>
          </w:p>
        </w:tc>
        <w:tc>
          <w:tcPr>
            <w:tcW w:w="4678" w:type="dxa"/>
            <w:gridSpan w:val="2"/>
            <w:tcBorders>
              <w:top w:val="single" w:sz="4" w:space="0" w:color="FF0000"/>
              <w:bottom w:val="single" w:sz="4" w:space="0" w:color="FF0000"/>
            </w:tcBorders>
          </w:tcPr>
          <w:p w:rsidR="0051039B" w:rsidRPr="00B22D95" w:rsidRDefault="00E51C5B" w:rsidP="0051039B">
            <w:pPr>
              <w:spacing w:line="360" w:lineRule="auto"/>
              <w:ind w:left="1" w:firstLineChars="18" w:firstLine="32"/>
              <w:jc w:val="right"/>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29560" cy="1958340"/>
                  <wp:effectExtent l="19050" t="0" r="889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cstate="print"/>
                          <a:srcRect/>
                          <a:stretch>
                            <a:fillRect/>
                          </a:stretch>
                        </pic:blipFill>
                        <pic:spPr bwMode="auto">
                          <a:xfrm>
                            <a:off x="0" y="0"/>
                            <a:ext cx="2829560" cy="1958340"/>
                          </a:xfrm>
                          <a:prstGeom prst="rect">
                            <a:avLst/>
                          </a:prstGeom>
                          <a:noFill/>
                          <a:ln w="9525">
                            <a:noFill/>
                            <a:miter lim="800000"/>
                            <a:headEnd/>
                            <a:tailEnd/>
                          </a:ln>
                        </pic:spPr>
                      </pic:pic>
                    </a:graphicData>
                  </a:graphic>
                </wp:inline>
              </w:drawing>
            </w:r>
          </w:p>
        </w:tc>
      </w:tr>
    </w:tbl>
    <w:p w:rsidR="0051039B" w:rsidRPr="00156066" w:rsidRDefault="00564B59" w:rsidP="0051039B">
      <w:pPr>
        <w:rPr>
          <w:rFonts w:ascii="楷体_GB2312" w:eastAsia="楷体_GB2312"/>
          <w:noProof/>
          <w:color w:val="000000"/>
        </w:rPr>
      </w:pPr>
      <w:r>
        <w:rPr>
          <w:rFonts w:ascii="楷体_GB2312" w:eastAsia="楷体_GB2312" w:hint="eastAsia"/>
          <w:noProof/>
          <w:color w:val="000000"/>
        </w:rPr>
        <w:t>来源：</w:t>
      </w:r>
      <w:r w:rsidR="0051039B" w:rsidRPr="00156066">
        <w:rPr>
          <w:rFonts w:ascii="楷体_GB2312" w:eastAsia="楷体_GB2312" w:hint="eastAsia"/>
          <w:noProof/>
          <w:color w:val="000000"/>
        </w:rPr>
        <w:t>wind</w:t>
      </w:r>
      <w:r w:rsidR="0051039B">
        <w:rPr>
          <w:rFonts w:ascii="楷体_GB2312" w:eastAsia="楷体_GB2312" w:hint="eastAsia"/>
          <w:noProof/>
          <w:color w:val="000000"/>
        </w:rPr>
        <w:t>，</w:t>
      </w:r>
      <w:r w:rsidR="0051039B" w:rsidRPr="00156066">
        <w:rPr>
          <w:rFonts w:ascii="楷体_GB2312" w:eastAsia="楷体_GB2312" w:hint="eastAsia"/>
          <w:noProof/>
          <w:color w:val="000000"/>
        </w:rPr>
        <w:t>上海证券基金评价研究中心</w:t>
      </w:r>
    </w:p>
    <w:p w:rsidR="004264FD" w:rsidRPr="003A2393" w:rsidRDefault="004264FD" w:rsidP="00A422E1">
      <w:pPr>
        <w:spacing w:beforeLines="50"/>
        <w:ind w:leftChars="1350" w:left="2835" w:firstLineChars="202" w:firstLine="424"/>
        <w:rPr>
          <w:rFonts w:ascii="楷体_GB2312" w:eastAsia="楷体_GB2312" w:hAnsi="宋体" w:cs="宋体"/>
          <w:kern w:val="0"/>
          <w:szCs w:val="21"/>
        </w:rPr>
      </w:pPr>
      <w:bookmarkStart w:id="1" w:name="_Hlk358040553"/>
      <w:r w:rsidRPr="003A2393">
        <w:rPr>
          <w:rFonts w:ascii="楷体_GB2312" w:eastAsia="楷体_GB2312" w:hAnsi="宋体" w:cs="宋体" w:hint="eastAsia"/>
          <w:kern w:val="0"/>
          <w:szCs w:val="21"/>
        </w:rPr>
        <w:t>从行业结构来看，上月轻工业板块和消费板块表现较好，强周期板块除</w:t>
      </w:r>
      <w:r w:rsidR="00973F8A" w:rsidRPr="003A2393">
        <w:rPr>
          <w:rFonts w:ascii="楷体_GB2312" w:eastAsia="楷体_GB2312" w:hAnsi="宋体" w:cs="宋体" w:hint="eastAsia"/>
          <w:kern w:val="0"/>
          <w:szCs w:val="21"/>
        </w:rPr>
        <w:t>金属非金属外普遍下跌。表现最好的三个行业为综合、休闲服务、有色金属，全月涨幅分别为</w:t>
      </w:r>
      <w:r w:rsidR="00973F8A" w:rsidRPr="003A2393">
        <w:rPr>
          <w:rFonts w:ascii="楷体_GB2312" w:eastAsia="楷体_GB2312" w:hAnsi="宋体" w:cs="宋体"/>
          <w:kern w:val="0"/>
          <w:szCs w:val="21"/>
        </w:rPr>
        <w:t>8.8</w:t>
      </w:r>
      <w:r w:rsidR="00973F8A" w:rsidRPr="003A2393">
        <w:rPr>
          <w:rFonts w:ascii="楷体_GB2312" w:eastAsia="楷体_GB2312" w:hAnsi="宋体" w:cs="宋体" w:hint="eastAsia"/>
          <w:kern w:val="0"/>
          <w:szCs w:val="21"/>
        </w:rPr>
        <w:t>9%、</w:t>
      </w:r>
      <w:r w:rsidR="00973F8A" w:rsidRPr="003A2393">
        <w:rPr>
          <w:rFonts w:ascii="楷体_GB2312" w:eastAsia="楷体_GB2312" w:hAnsi="宋体" w:cs="宋体"/>
          <w:kern w:val="0"/>
          <w:szCs w:val="21"/>
        </w:rPr>
        <w:t>7.13</w:t>
      </w:r>
      <w:r w:rsidR="00973F8A" w:rsidRPr="003A2393">
        <w:rPr>
          <w:rFonts w:ascii="楷体_GB2312" w:eastAsia="楷体_GB2312" w:hAnsi="宋体" w:cs="宋体" w:hint="eastAsia"/>
          <w:kern w:val="0"/>
          <w:szCs w:val="21"/>
        </w:rPr>
        <w:t>%、</w:t>
      </w:r>
      <w:r w:rsidR="00973F8A" w:rsidRPr="003A2393">
        <w:rPr>
          <w:rFonts w:ascii="楷体_GB2312" w:eastAsia="楷体_GB2312" w:hAnsi="宋体" w:cs="宋体"/>
          <w:kern w:val="0"/>
          <w:szCs w:val="21"/>
        </w:rPr>
        <w:t>4.5</w:t>
      </w:r>
      <w:r w:rsidR="00973F8A" w:rsidRPr="003A2393">
        <w:rPr>
          <w:rFonts w:ascii="楷体_GB2312" w:eastAsia="楷体_GB2312" w:hAnsi="宋体" w:cs="宋体" w:hint="eastAsia"/>
          <w:kern w:val="0"/>
          <w:szCs w:val="21"/>
        </w:rPr>
        <w:t>9%。表现最差的行业传媒、建筑装饰、国防军工，全月分别下跌</w:t>
      </w:r>
      <w:r w:rsidR="00973F8A" w:rsidRPr="003A2393">
        <w:rPr>
          <w:rFonts w:ascii="楷体_GB2312" w:eastAsia="楷体_GB2312" w:hAnsi="宋体" w:cs="宋体"/>
          <w:kern w:val="0"/>
          <w:szCs w:val="21"/>
        </w:rPr>
        <w:t>-6.89</w:t>
      </w:r>
      <w:r w:rsidR="00AB0FD3" w:rsidRPr="003A2393">
        <w:rPr>
          <w:rFonts w:ascii="楷体_GB2312" w:eastAsia="楷体_GB2312" w:hAnsi="宋体" w:cs="宋体" w:hint="eastAsia"/>
          <w:kern w:val="0"/>
          <w:szCs w:val="21"/>
        </w:rPr>
        <w:t>%</w:t>
      </w:r>
      <w:r w:rsidR="00973F8A" w:rsidRPr="003A2393">
        <w:rPr>
          <w:rFonts w:ascii="楷体_GB2312" w:eastAsia="楷体_GB2312" w:hAnsi="宋体" w:cs="宋体" w:hint="eastAsia"/>
          <w:kern w:val="0"/>
          <w:szCs w:val="21"/>
        </w:rPr>
        <w:t>、</w:t>
      </w:r>
      <w:r w:rsidR="00973F8A" w:rsidRPr="003A2393">
        <w:rPr>
          <w:rFonts w:ascii="楷体_GB2312" w:eastAsia="楷体_GB2312" w:hAnsi="宋体" w:cs="宋体"/>
          <w:kern w:val="0"/>
          <w:szCs w:val="21"/>
        </w:rPr>
        <w:t>-5.42</w:t>
      </w:r>
      <w:r w:rsidR="00973F8A" w:rsidRPr="003A2393">
        <w:rPr>
          <w:rFonts w:ascii="楷体_GB2312" w:eastAsia="楷体_GB2312" w:hAnsi="宋体" w:cs="宋体" w:hint="eastAsia"/>
          <w:kern w:val="0"/>
          <w:szCs w:val="21"/>
        </w:rPr>
        <w:t>%、</w:t>
      </w:r>
      <w:r w:rsidR="00973F8A" w:rsidRPr="003A2393">
        <w:rPr>
          <w:rFonts w:ascii="楷体_GB2312" w:eastAsia="楷体_GB2312" w:hAnsi="宋体" w:cs="宋体"/>
          <w:kern w:val="0"/>
          <w:szCs w:val="21"/>
        </w:rPr>
        <w:t>-5.30</w:t>
      </w:r>
      <w:r w:rsidR="00973F8A" w:rsidRPr="003A2393">
        <w:rPr>
          <w:rFonts w:ascii="楷体_GB2312" w:eastAsia="楷体_GB2312" w:hAnsi="宋体" w:cs="宋体" w:hint="eastAsia"/>
          <w:kern w:val="0"/>
          <w:szCs w:val="21"/>
        </w:rPr>
        <w:t>%。</w:t>
      </w:r>
    </w:p>
    <w:bookmarkEnd w:id="1"/>
    <w:p w:rsidR="00E01502" w:rsidRPr="003A2393" w:rsidRDefault="00220FEB" w:rsidP="00A422E1">
      <w:pPr>
        <w:spacing w:beforeLines="50"/>
        <w:ind w:leftChars="1350" w:left="2835" w:firstLineChars="202" w:firstLine="424"/>
        <w:rPr>
          <w:rFonts w:ascii="楷体_GB2312" w:eastAsia="楷体_GB2312" w:hAnsi="宋体" w:cs="宋体"/>
          <w:kern w:val="0"/>
          <w:szCs w:val="21"/>
        </w:rPr>
      </w:pPr>
      <w:r w:rsidRPr="003A2393">
        <w:rPr>
          <w:rFonts w:ascii="楷体_GB2312" w:eastAsia="楷体_GB2312" w:hAnsi="宋体" w:cs="宋体" w:hint="eastAsia"/>
          <w:kern w:val="0"/>
          <w:szCs w:val="21"/>
        </w:rPr>
        <w:t>2</w:t>
      </w:r>
      <w:r w:rsidR="00B35B0B" w:rsidRPr="003A2393">
        <w:rPr>
          <w:rFonts w:ascii="楷体_GB2312" w:eastAsia="楷体_GB2312" w:hAnsi="宋体" w:cs="宋体" w:hint="eastAsia"/>
          <w:kern w:val="0"/>
          <w:szCs w:val="21"/>
        </w:rPr>
        <w:t>月债市</w:t>
      </w:r>
      <w:r w:rsidRPr="003A2393">
        <w:rPr>
          <w:rFonts w:ascii="楷体_GB2312" w:eastAsia="楷体_GB2312" w:hAnsi="宋体" w:cs="宋体" w:hint="eastAsia"/>
          <w:kern w:val="0"/>
          <w:szCs w:val="21"/>
        </w:rPr>
        <w:t>在流动性推动下维持</w:t>
      </w:r>
      <w:r w:rsidR="000F7C7F" w:rsidRPr="003A2393">
        <w:rPr>
          <w:rFonts w:ascii="楷体_GB2312" w:eastAsia="楷体_GB2312" w:hAnsi="宋体" w:cs="宋体" w:hint="eastAsia"/>
          <w:kern w:val="0"/>
          <w:szCs w:val="21"/>
        </w:rPr>
        <w:t>反弹</w:t>
      </w:r>
      <w:r w:rsidRPr="003A2393">
        <w:rPr>
          <w:rFonts w:ascii="楷体_GB2312" w:eastAsia="楷体_GB2312" w:hAnsi="宋体" w:cs="宋体" w:hint="eastAsia"/>
          <w:kern w:val="0"/>
          <w:szCs w:val="21"/>
        </w:rPr>
        <w:t>格局</w:t>
      </w:r>
      <w:r w:rsidR="00FA1DE7" w:rsidRPr="003A2393">
        <w:rPr>
          <w:rFonts w:ascii="楷体_GB2312" w:eastAsia="楷体_GB2312" w:hAnsi="宋体" w:cs="宋体" w:hint="eastAsia"/>
          <w:kern w:val="0"/>
          <w:szCs w:val="21"/>
        </w:rPr>
        <w:t>，</w:t>
      </w:r>
      <w:r w:rsidR="008F1823" w:rsidRPr="003A2393">
        <w:rPr>
          <w:rFonts w:ascii="楷体_GB2312" w:eastAsia="楷体_GB2312" w:hAnsi="宋体" w:cs="宋体" w:hint="eastAsia"/>
          <w:kern w:val="0"/>
          <w:szCs w:val="21"/>
        </w:rPr>
        <w:t>收益率曲线</w:t>
      </w:r>
      <w:r w:rsidRPr="003A2393">
        <w:rPr>
          <w:rFonts w:ascii="楷体_GB2312" w:eastAsia="楷体_GB2312" w:hAnsi="宋体" w:cs="宋体" w:hint="eastAsia"/>
          <w:kern w:val="0"/>
          <w:szCs w:val="21"/>
        </w:rPr>
        <w:t>进一步</w:t>
      </w:r>
      <w:r w:rsidR="008F1823" w:rsidRPr="003A2393">
        <w:rPr>
          <w:rFonts w:ascii="楷体_GB2312" w:eastAsia="楷体_GB2312" w:hAnsi="宋体" w:cs="宋体" w:hint="eastAsia"/>
          <w:kern w:val="0"/>
          <w:szCs w:val="21"/>
        </w:rPr>
        <w:t>陡峭化</w:t>
      </w:r>
      <w:r w:rsidR="000F798B" w:rsidRPr="003A2393">
        <w:rPr>
          <w:rFonts w:ascii="楷体_GB2312" w:eastAsia="楷体_GB2312" w:hAnsi="宋体" w:cs="宋体" w:hint="eastAsia"/>
          <w:kern w:val="0"/>
          <w:szCs w:val="21"/>
        </w:rPr>
        <w:lastRenderedPageBreak/>
        <w:t>下</w:t>
      </w:r>
      <w:r w:rsidR="008F1823" w:rsidRPr="003A2393">
        <w:rPr>
          <w:rFonts w:ascii="楷体_GB2312" w:eastAsia="楷体_GB2312" w:hAnsi="宋体" w:cs="宋体" w:hint="eastAsia"/>
          <w:kern w:val="0"/>
          <w:szCs w:val="21"/>
        </w:rPr>
        <w:t>移</w:t>
      </w:r>
      <w:r w:rsidR="00F46810" w:rsidRPr="003A2393">
        <w:rPr>
          <w:rFonts w:ascii="楷体_GB2312" w:eastAsia="楷体_GB2312" w:hAnsi="宋体" w:cs="宋体" w:hint="eastAsia"/>
          <w:kern w:val="0"/>
          <w:szCs w:val="21"/>
        </w:rPr>
        <w:t>。</w:t>
      </w:r>
      <w:r w:rsidR="000F798B" w:rsidRPr="003A2393">
        <w:rPr>
          <w:rFonts w:ascii="楷体_GB2312" w:eastAsia="楷体_GB2312" w:hAnsi="宋体" w:cs="宋体" w:hint="eastAsia"/>
          <w:kern w:val="0"/>
          <w:szCs w:val="21"/>
        </w:rPr>
        <w:t>中短期品种表现活跃，长期品种也出现一定程度的上涨</w:t>
      </w:r>
      <w:r w:rsidR="001417EA" w:rsidRPr="003A2393">
        <w:rPr>
          <w:rFonts w:ascii="楷体_GB2312" w:eastAsia="楷体_GB2312" w:hAnsi="宋体" w:cs="宋体" w:hint="eastAsia"/>
          <w:kern w:val="0"/>
          <w:szCs w:val="21"/>
        </w:rPr>
        <w:t>。</w:t>
      </w:r>
      <w:r w:rsidR="00A1752C" w:rsidRPr="003A2393">
        <w:rPr>
          <w:rFonts w:ascii="楷体_GB2312" w:eastAsia="楷体_GB2312" w:hAnsi="宋体" w:cs="宋体" w:hint="eastAsia"/>
          <w:kern w:val="0"/>
          <w:szCs w:val="21"/>
        </w:rPr>
        <w:t>从价格指数来看，</w:t>
      </w:r>
      <w:r w:rsidR="005B78A9" w:rsidRPr="003A2393">
        <w:rPr>
          <w:rFonts w:ascii="楷体_GB2312" w:eastAsia="楷体_GB2312" w:hAnsi="宋体" w:cs="宋体" w:hint="eastAsia"/>
          <w:kern w:val="0"/>
          <w:szCs w:val="21"/>
        </w:rPr>
        <w:t>全月中证全债指数</w:t>
      </w:r>
      <w:r w:rsidR="00E01502" w:rsidRPr="003A2393">
        <w:rPr>
          <w:rFonts w:ascii="楷体_GB2312" w:eastAsia="楷体_GB2312" w:hAnsi="宋体" w:cs="宋体" w:hint="eastAsia"/>
          <w:kern w:val="0"/>
          <w:szCs w:val="21"/>
        </w:rPr>
        <w:t>大涨</w:t>
      </w:r>
      <w:r w:rsidRPr="003A2393">
        <w:rPr>
          <w:rFonts w:ascii="楷体_GB2312" w:eastAsia="楷体_GB2312" w:hAnsi="宋体" w:cs="宋体"/>
          <w:kern w:val="0"/>
          <w:szCs w:val="21"/>
        </w:rPr>
        <w:t>1.67</w:t>
      </w:r>
      <w:r w:rsidR="0093517B" w:rsidRPr="003A2393">
        <w:rPr>
          <w:rFonts w:ascii="楷体_GB2312" w:eastAsia="楷体_GB2312" w:hAnsi="宋体" w:cs="宋体" w:hint="eastAsia"/>
          <w:kern w:val="0"/>
          <w:szCs w:val="21"/>
        </w:rPr>
        <w:t>%</w:t>
      </w:r>
      <w:r w:rsidR="00AB0FD3" w:rsidRPr="003A2393">
        <w:rPr>
          <w:rFonts w:ascii="楷体_GB2312" w:eastAsia="楷体_GB2312" w:hAnsi="宋体" w:cs="宋体" w:hint="eastAsia"/>
          <w:kern w:val="0"/>
          <w:szCs w:val="21"/>
        </w:rPr>
        <w:t>，其中中短期高信用等级债表现更为强劲</w:t>
      </w:r>
      <w:r w:rsidR="005B78A9" w:rsidRPr="003A2393">
        <w:rPr>
          <w:rFonts w:ascii="楷体_GB2312" w:eastAsia="楷体_GB2312" w:hAnsi="宋体" w:cs="宋体" w:hint="eastAsia"/>
          <w:kern w:val="0"/>
          <w:szCs w:val="21"/>
        </w:rPr>
        <w:t>。</w:t>
      </w:r>
    </w:p>
    <w:tbl>
      <w:tblPr>
        <w:tblW w:w="9356" w:type="dxa"/>
        <w:tblInd w:w="-34" w:type="dxa"/>
        <w:tblLayout w:type="fixed"/>
        <w:tblLook w:val="04A0"/>
      </w:tblPr>
      <w:tblGrid>
        <w:gridCol w:w="4678"/>
        <w:gridCol w:w="142"/>
        <w:gridCol w:w="4536"/>
      </w:tblGrid>
      <w:tr w:rsidR="00D0395D" w:rsidRPr="00051DF8" w:rsidTr="00A422E1">
        <w:tc>
          <w:tcPr>
            <w:tcW w:w="4820" w:type="dxa"/>
            <w:gridSpan w:val="2"/>
            <w:tcBorders>
              <w:bottom w:val="single" w:sz="4" w:space="0" w:color="FF0000"/>
            </w:tcBorders>
          </w:tcPr>
          <w:p w:rsidR="00D0395D" w:rsidRPr="00144B03" w:rsidRDefault="00D0395D" w:rsidP="004254ED">
            <w:pPr>
              <w:spacing w:line="360" w:lineRule="auto"/>
              <w:ind w:left="33" w:hangingChars="18" w:hanging="33"/>
              <w:jc w:val="left"/>
              <w:rPr>
                <w:rFonts w:ascii="楷体_GB2312" w:eastAsia="楷体_GB2312"/>
                <w:b/>
                <w:color w:val="000000"/>
                <w:sz w:val="18"/>
                <w:szCs w:val="18"/>
              </w:rPr>
            </w:pPr>
            <w:r w:rsidRPr="00144B03">
              <w:rPr>
                <w:rFonts w:ascii="楷体_GB2312" w:eastAsia="楷体_GB2312" w:hint="eastAsia"/>
                <w:b/>
                <w:color w:val="000000"/>
                <w:sz w:val="18"/>
                <w:szCs w:val="18"/>
              </w:rPr>
              <w:t>图5、</w:t>
            </w:r>
            <w:r w:rsidR="004254ED">
              <w:rPr>
                <w:rFonts w:ascii="楷体_GB2312" w:eastAsia="楷体_GB2312" w:hint="eastAsia"/>
                <w:b/>
                <w:color w:val="000000"/>
                <w:sz w:val="18"/>
                <w:szCs w:val="18"/>
              </w:rPr>
              <w:t>国债收益率曲线陡峭化下移</w:t>
            </w:r>
          </w:p>
        </w:tc>
        <w:tc>
          <w:tcPr>
            <w:tcW w:w="4536" w:type="dxa"/>
            <w:tcBorders>
              <w:bottom w:val="single" w:sz="4" w:space="0" w:color="FF0000"/>
            </w:tcBorders>
          </w:tcPr>
          <w:p w:rsidR="00D0395D" w:rsidRPr="00144B03" w:rsidRDefault="00D0395D" w:rsidP="004254ED">
            <w:pPr>
              <w:spacing w:line="360" w:lineRule="auto"/>
              <w:ind w:left="4017" w:hangingChars="2223" w:hanging="4017"/>
              <w:jc w:val="left"/>
              <w:rPr>
                <w:rFonts w:ascii="楷体_GB2312" w:eastAsia="楷体_GB2312"/>
                <w:b/>
                <w:color w:val="000000"/>
                <w:sz w:val="18"/>
                <w:szCs w:val="18"/>
              </w:rPr>
            </w:pPr>
            <w:r w:rsidRPr="00144B03">
              <w:rPr>
                <w:rFonts w:ascii="楷体_GB2312" w:eastAsia="楷体_GB2312" w:hint="eastAsia"/>
                <w:b/>
                <w:color w:val="000000"/>
                <w:sz w:val="18"/>
                <w:szCs w:val="18"/>
              </w:rPr>
              <w:t>图6、</w:t>
            </w:r>
            <w:r w:rsidR="004254ED">
              <w:rPr>
                <w:rFonts w:ascii="楷体_GB2312" w:eastAsia="楷体_GB2312" w:hint="eastAsia"/>
                <w:b/>
                <w:color w:val="000000"/>
                <w:sz w:val="18"/>
                <w:szCs w:val="18"/>
              </w:rPr>
              <w:t>国债和企业债利差</w:t>
            </w:r>
            <w:r w:rsidR="00BF40B4">
              <w:rPr>
                <w:rFonts w:ascii="楷体_GB2312" w:eastAsia="楷体_GB2312" w:hint="eastAsia"/>
                <w:b/>
                <w:color w:val="000000"/>
                <w:sz w:val="18"/>
                <w:szCs w:val="18"/>
              </w:rPr>
              <w:t>保持高位</w:t>
            </w:r>
          </w:p>
        </w:tc>
      </w:tr>
      <w:tr w:rsidR="00D0395D" w:rsidRPr="00B22D95" w:rsidTr="00A422E1">
        <w:tc>
          <w:tcPr>
            <w:tcW w:w="4678" w:type="dxa"/>
            <w:tcBorders>
              <w:top w:val="single" w:sz="4" w:space="0" w:color="FF0000"/>
              <w:bottom w:val="single" w:sz="4" w:space="0" w:color="FF0000"/>
            </w:tcBorders>
          </w:tcPr>
          <w:p w:rsidR="00D0395D" w:rsidRPr="00B22D95" w:rsidRDefault="00D0395D" w:rsidP="00A422E1">
            <w:pPr>
              <w:spacing w:line="360" w:lineRule="auto"/>
              <w:ind w:leftChars="16" w:left="34"/>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28925" cy="2133600"/>
                  <wp:effectExtent l="19050" t="0" r="9525"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 cstate="print"/>
                          <a:srcRect/>
                          <a:stretch>
                            <a:fillRect/>
                          </a:stretch>
                        </pic:blipFill>
                        <pic:spPr bwMode="auto">
                          <a:xfrm>
                            <a:off x="0" y="0"/>
                            <a:ext cx="2828925" cy="2133600"/>
                          </a:xfrm>
                          <a:prstGeom prst="rect">
                            <a:avLst/>
                          </a:prstGeom>
                          <a:noFill/>
                          <a:ln w="9525">
                            <a:noFill/>
                            <a:miter lim="800000"/>
                            <a:headEnd/>
                            <a:tailEnd/>
                          </a:ln>
                        </pic:spPr>
                      </pic:pic>
                    </a:graphicData>
                  </a:graphic>
                </wp:inline>
              </w:drawing>
            </w:r>
          </w:p>
        </w:tc>
        <w:tc>
          <w:tcPr>
            <w:tcW w:w="4678" w:type="dxa"/>
            <w:gridSpan w:val="2"/>
            <w:tcBorders>
              <w:top w:val="single" w:sz="4" w:space="0" w:color="FF0000"/>
              <w:bottom w:val="single" w:sz="4" w:space="0" w:color="FF0000"/>
            </w:tcBorders>
          </w:tcPr>
          <w:p w:rsidR="00D0395D" w:rsidRPr="00B22D95" w:rsidRDefault="004A2C60" w:rsidP="00A422E1">
            <w:pPr>
              <w:spacing w:line="360" w:lineRule="auto"/>
              <w:ind w:left="1" w:firstLineChars="18" w:firstLine="32"/>
              <w:jc w:val="right"/>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29560" cy="2139315"/>
                  <wp:effectExtent l="19050" t="0" r="889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cstate="print"/>
                          <a:srcRect/>
                          <a:stretch>
                            <a:fillRect/>
                          </a:stretch>
                        </pic:blipFill>
                        <pic:spPr bwMode="auto">
                          <a:xfrm>
                            <a:off x="0" y="0"/>
                            <a:ext cx="2829560" cy="2139315"/>
                          </a:xfrm>
                          <a:prstGeom prst="rect">
                            <a:avLst/>
                          </a:prstGeom>
                          <a:noFill/>
                          <a:ln w="9525">
                            <a:noFill/>
                            <a:miter lim="800000"/>
                            <a:headEnd/>
                            <a:tailEnd/>
                          </a:ln>
                        </pic:spPr>
                      </pic:pic>
                    </a:graphicData>
                  </a:graphic>
                </wp:inline>
              </w:drawing>
            </w:r>
          </w:p>
        </w:tc>
      </w:tr>
    </w:tbl>
    <w:p w:rsidR="00D0395D" w:rsidRPr="00156066" w:rsidRDefault="00564B59" w:rsidP="00D0395D">
      <w:pPr>
        <w:rPr>
          <w:rFonts w:ascii="楷体_GB2312" w:eastAsia="楷体_GB2312"/>
          <w:noProof/>
          <w:color w:val="000000"/>
        </w:rPr>
      </w:pPr>
      <w:r>
        <w:rPr>
          <w:rFonts w:ascii="楷体_GB2312" w:eastAsia="楷体_GB2312" w:hint="eastAsia"/>
          <w:noProof/>
          <w:color w:val="000000"/>
        </w:rPr>
        <w:t>来源：</w:t>
      </w:r>
      <w:r w:rsidR="00D0395D" w:rsidRPr="00156066">
        <w:rPr>
          <w:rFonts w:ascii="楷体_GB2312" w:eastAsia="楷体_GB2312" w:hint="eastAsia"/>
          <w:noProof/>
          <w:color w:val="000000"/>
        </w:rPr>
        <w:t>wind</w:t>
      </w:r>
      <w:r w:rsidR="00D0395D">
        <w:rPr>
          <w:rFonts w:ascii="楷体_GB2312" w:eastAsia="楷体_GB2312" w:hint="eastAsia"/>
          <w:noProof/>
          <w:color w:val="000000"/>
        </w:rPr>
        <w:t>，</w:t>
      </w:r>
      <w:r w:rsidR="00D0395D" w:rsidRPr="00156066">
        <w:rPr>
          <w:rFonts w:ascii="楷体_GB2312" w:eastAsia="楷体_GB2312" w:hint="eastAsia"/>
          <w:noProof/>
          <w:color w:val="000000"/>
        </w:rPr>
        <w:t>上海证券基金评价研究中心</w:t>
      </w:r>
    </w:p>
    <w:p w:rsidR="00B32EE1" w:rsidRPr="005E4592" w:rsidRDefault="00217C1F" w:rsidP="00A422E1">
      <w:pPr>
        <w:spacing w:beforeLines="100" w:afterLines="50"/>
        <w:ind w:leftChars="1350" w:left="2835" w:firstLineChars="196" w:firstLine="472"/>
        <w:rPr>
          <w:rFonts w:ascii="黑体" w:eastAsia="黑体" w:hAnsi="宋体-18030" w:cs="宋体-18030"/>
          <w:b/>
          <w:bCs/>
          <w:color w:val="003366"/>
          <w:kern w:val="44"/>
          <w:sz w:val="24"/>
        </w:rPr>
      </w:pPr>
      <w:r w:rsidRPr="005E4592">
        <w:rPr>
          <w:rFonts w:ascii="黑体" w:eastAsia="黑体" w:hAnsi="宋体-18030" w:cs="宋体-18030" w:hint="eastAsia"/>
          <w:b/>
          <w:bCs/>
          <w:color w:val="003366"/>
          <w:kern w:val="44"/>
          <w:sz w:val="24"/>
        </w:rPr>
        <w:t>（二）基金市场回顾：债券型基金表现抢眼</w:t>
      </w:r>
    </w:p>
    <w:p w:rsidR="00E1353E" w:rsidRPr="003A2393" w:rsidRDefault="00905DA2" w:rsidP="00A422E1">
      <w:pPr>
        <w:spacing w:beforeLines="50"/>
        <w:ind w:leftChars="1350" w:left="2835" w:firstLineChars="202" w:firstLine="424"/>
        <w:rPr>
          <w:rFonts w:ascii="楷体_GB2312" w:eastAsia="楷体_GB2312" w:hAnsi="宋体" w:cs="宋体"/>
          <w:kern w:val="0"/>
          <w:szCs w:val="21"/>
        </w:rPr>
      </w:pPr>
      <w:r w:rsidRPr="003A2393">
        <w:rPr>
          <w:rFonts w:ascii="楷体_GB2312" w:eastAsia="楷体_GB2312" w:hAnsi="宋体" w:cs="宋体" w:hint="eastAsia"/>
          <w:kern w:val="0"/>
          <w:szCs w:val="21"/>
        </w:rPr>
        <w:t>2</w:t>
      </w:r>
      <w:r w:rsidR="00D3552B" w:rsidRPr="003A2393">
        <w:rPr>
          <w:rFonts w:ascii="楷体_GB2312" w:eastAsia="楷体_GB2312" w:hAnsi="宋体" w:cs="宋体" w:hint="eastAsia"/>
          <w:kern w:val="0"/>
          <w:szCs w:val="21"/>
        </w:rPr>
        <w:t>月债券型基金一扫延续近8个月的颓势，</w:t>
      </w:r>
      <w:r w:rsidR="00D81F4D" w:rsidRPr="003A2393">
        <w:rPr>
          <w:rFonts w:ascii="楷体_GB2312" w:eastAsia="楷体_GB2312" w:hAnsi="宋体" w:cs="宋体" w:hint="eastAsia"/>
          <w:kern w:val="0"/>
          <w:szCs w:val="21"/>
        </w:rPr>
        <w:t>全月净值平均上涨1.53%，</w:t>
      </w:r>
      <w:r w:rsidR="00616789" w:rsidRPr="003A2393">
        <w:rPr>
          <w:rFonts w:ascii="楷体_GB2312" w:eastAsia="楷体_GB2312" w:hAnsi="宋体" w:cs="宋体" w:hint="eastAsia"/>
          <w:kern w:val="0"/>
          <w:szCs w:val="21"/>
        </w:rPr>
        <w:t>成为上周表现最为抢眼的一类。</w:t>
      </w:r>
      <w:r w:rsidR="00E91042" w:rsidRPr="003A2393">
        <w:rPr>
          <w:rFonts w:ascii="楷体_GB2312" w:eastAsia="楷体_GB2312" w:hAnsi="宋体" w:cs="宋体" w:hint="eastAsia"/>
          <w:kern w:val="0"/>
          <w:szCs w:val="21"/>
        </w:rPr>
        <w:t>尽管市场结构延续一贯的行情，但创业板的下跌和房地产相关板块的调整仍然明显挫伤</w:t>
      </w:r>
      <w:r w:rsidR="00E1353E" w:rsidRPr="003A2393">
        <w:rPr>
          <w:rFonts w:ascii="楷体_GB2312" w:eastAsia="楷体_GB2312" w:hAnsi="宋体" w:cs="宋体" w:hint="eastAsia"/>
          <w:kern w:val="0"/>
          <w:szCs w:val="21"/>
        </w:rPr>
        <w:t>主动</w:t>
      </w:r>
      <w:r w:rsidR="00E91042" w:rsidRPr="003A2393">
        <w:rPr>
          <w:rFonts w:ascii="楷体_GB2312" w:eastAsia="楷体_GB2312" w:hAnsi="宋体" w:cs="宋体" w:hint="eastAsia"/>
          <w:kern w:val="0"/>
          <w:szCs w:val="21"/>
        </w:rPr>
        <w:t>管理型基金的表现。主动</w:t>
      </w:r>
      <w:r w:rsidR="00E1353E" w:rsidRPr="003A2393">
        <w:rPr>
          <w:rFonts w:ascii="楷体_GB2312" w:eastAsia="楷体_GB2312" w:hAnsi="宋体" w:cs="宋体" w:hint="eastAsia"/>
          <w:kern w:val="0"/>
          <w:szCs w:val="21"/>
        </w:rPr>
        <w:t>偏股型基金和偏债混合型基金</w:t>
      </w:r>
      <w:r w:rsidR="00E91042" w:rsidRPr="003A2393">
        <w:rPr>
          <w:rFonts w:ascii="楷体_GB2312" w:eastAsia="楷体_GB2312" w:hAnsi="宋体" w:cs="宋体" w:hint="eastAsia"/>
          <w:kern w:val="0"/>
          <w:szCs w:val="21"/>
        </w:rPr>
        <w:t>均出现不同程度的下跌。</w:t>
      </w:r>
      <w:r w:rsidR="00217C1F" w:rsidRPr="003A2393">
        <w:rPr>
          <w:rFonts w:ascii="楷体_GB2312" w:eastAsia="楷体_GB2312" w:hAnsi="宋体" w:cs="宋体" w:hint="eastAsia"/>
          <w:kern w:val="0"/>
          <w:szCs w:val="21"/>
        </w:rPr>
        <w:t>此外，受全球市场的企稳反弹，QDII整体飘红，全月平均上涨2.75%，表现优于国内各类型基金。</w:t>
      </w:r>
    </w:p>
    <w:tbl>
      <w:tblPr>
        <w:tblW w:w="6521" w:type="dxa"/>
        <w:tblInd w:w="2943" w:type="dxa"/>
        <w:tblLayout w:type="fixed"/>
        <w:tblLook w:val="04A0"/>
      </w:tblPr>
      <w:tblGrid>
        <w:gridCol w:w="6521"/>
      </w:tblGrid>
      <w:tr w:rsidR="00D81F4D" w:rsidRPr="005059AD" w:rsidTr="00EB544E">
        <w:tc>
          <w:tcPr>
            <w:tcW w:w="6521" w:type="dxa"/>
            <w:tcBorders>
              <w:bottom w:val="single" w:sz="4" w:space="0" w:color="FF0000"/>
            </w:tcBorders>
          </w:tcPr>
          <w:p w:rsidR="00D81F4D" w:rsidRPr="00144B03" w:rsidRDefault="00D81F4D" w:rsidP="00BF40B4">
            <w:pPr>
              <w:spacing w:line="360" w:lineRule="auto"/>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7</w:t>
            </w:r>
            <w:r w:rsidRPr="00144B03">
              <w:rPr>
                <w:rFonts w:ascii="楷体_GB2312" w:eastAsia="楷体_GB2312" w:hint="eastAsia"/>
                <w:b/>
                <w:color w:val="000000"/>
                <w:sz w:val="18"/>
                <w:szCs w:val="18"/>
              </w:rPr>
              <w:t>、</w:t>
            </w:r>
            <w:r w:rsidR="00BF40B4">
              <w:rPr>
                <w:rFonts w:ascii="楷体_GB2312" w:eastAsia="楷体_GB2312" w:hint="eastAsia"/>
                <w:b/>
                <w:color w:val="000000"/>
                <w:sz w:val="18"/>
                <w:szCs w:val="18"/>
              </w:rPr>
              <w:t>本月各类型基金平均表现</w:t>
            </w:r>
          </w:p>
        </w:tc>
      </w:tr>
      <w:tr w:rsidR="00D81F4D" w:rsidRPr="005059AD" w:rsidTr="00EB544E">
        <w:trPr>
          <w:trHeight w:val="3588"/>
        </w:trPr>
        <w:tc>
          <w:tcPr>
            <w:tcW w:w="6521" w:type="dxa"/>
            <w:tcBorders>
              <w:top w:val="single" w:sz="4" w:space="0" w:color="FF0000"/>
              <w:bottom w:val="single" w:sz="4" w:space="0" w:color="FF0000"/>
            </w:tcBorders>
          </w:tcPr>
          <w:p w:rsidR="00D81F4D" w:rsidRPr="005059AD" w:rsidRDefault="00D12023" w:rsidP="00A422E1">
            <w:pPr>
              <w:spacing w:line="360" w:lineRule="auto"/>
              <w:jc w:val="center"/>
              <w:rPr>
                <w:rFonts w:ascii="楷体_GB2312" w:eastAsia="楷体_GB2312"/>
                <w:color w:val="000000"/>
                <w:sz w:val="18"/>
                <w:szCs w:val="18"/>
              </w:rPr>
            </w:pPr>
            <w:r w:rsidRPr="00D12023">
              <w:rPr>
                <w:rFonts w:ascii="楷体_GB2312" w:eastAsia="楷体_GB2312"/>
                <w:noProof/>
                <w:color w:val="000000"/>
                <w:sz w:val="18"/>
                <w:szCs w:val="18"/>
              </w:rPr>
              <w:drawing>
                <wp:inline distT="0" distB="0" distL="0" distR="0">
                  <wp:extent cx="3752381" cy="2390476"/>
                  <wp:effectExtent l="19050" t="0" r="469" b="0"/>
                  <wp:docPr id="4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3752381" cy="2390476"/>
                          </a:xfrm>
                          <a:prstGeom prst="rect">
                            <a:avLst/>
                          </a:prstGeom>
                        </pic:spPr>
                      </pic:pic>
                    </a:graphicData>
                  </a:graphic>
                </wp:inline>
              </w:drawing>
            </w:r>
          </w:p>
        </w:tc>
      </w:tr>
      <w:tr w:rsidR="00D81F4D" w:rsidRPr="005059AD" w:rsidTr="00EB544E">
        <w:tc>
          <w:tcPr>
            <w:tcW w:w="6521" w:type="dxa"/>
            <w:tcBorders>
              <w:top w:val="single" w:sz="4" w:space="0" w:color="FF0000"/>
            </w:tcBorders>
          </w:tcPr>
          <w:p w:rsidR="00D81F4D" w:rsidRPr="005059AD" w:rsidRDefault="00564B59" w:rsidP="00A422E1">
            <w:pPr>
              <w:spacing w:line="360" w:lineRule="auto"/>
              <w:jc w:val="left"/>
              <w:rPr>
                <w:rFonts w:ascii="楷体_GB2312" w:eastAsia="楷体_GB2312"/>
                <w:i/>
                <w:color w:val="000000"/>
                <w:sz w:val="18"/>
                <w:szCs w:val="18"/>
              </w:rPr>
            </w:pPr>
            <w:r>
              <w:rPr>
                <w:rFonts w:ascii="楷体_GB2312" w:eastAsia="楷体_GB2312" w:hint="eastAsia"/>
                <w:i/>
                <w:color w:val="000000"/>
                <w:sz w:val="18"/>
                <w:szCs w:val="18"/>
              </w:rPr>
              <w:t>来源：</w:t>
            </w:r>
            <w:r w:rsidR="00D81F4D" w:rsidRPr="005059AD">
              <w:rPr>
                <w:rFonts w:ascii="楷体_GB2312" w:eastAsia="楷体_GB2312" w:hint="eastAsia"/>
                <w:i/>
                <w:color w:val="000000"/>
                <w:sz w:val="18"/>
                <w:szCs w:val="18"/>
              </w:rPr>
              <w:t>wind 上海证券基金评价研究中心（截至2013年</w:t>
            </w:r>
            <w:r w:rsidR="00D81F4D">
              <w:rPr>
                <w:rFonts w:ascii="楷体_GB2312" w:eastAsia="楷体_GB2312" w:hint="eastAsia"/>
                <w:i/>
                <w:color w:val="000000"/>
                <w:sz w:val="18"/>
                <w:szCs w:val="18"/>
              </w:rPr>
              <w:t>12</w:t>
            </w:r>
            <w:r w:rsidR="00D81F4D" w:rsidRPr="005059AD">
              <w:rPr>
                <w:rFonts w:ascii="楷体_GB2312" w:eastAsia="楷体_GB2312" w:hint="eastAsia"/>
                <w:i/>
                <w:color w:val="000000"/>
                <w:sz w:val="18"/>
                <w:szCs w:val="18"/>
              </w:rPr>
              <w:t>月</w:t>
            </w:r>
            <w:r w:rsidR="00D81F4D">
              <w:rPr>
                <w:rFonts w:ascii="楷体_GB2312" w:eastAsia="楷体_GB2312" w:hint="eastAsia"/>
                <w:i/>
                <w:color w:val="000000"/>
                <w:sz w:val="18"/>
                <w:szCs w:val="18"/>
              </w:rPr>
              <w:t>31</w:t>
            </w:r>
            <w:r w:rsidR="00D81F4D" w:rsidRPr="005059AD">
              <w:rPr>
                <w:rFonts w:ascii="楷体_GB2312" w:eastAsia="楷体_GB2312" w:hint="eastAsia"/>
                <w:i/>
                <w:color w:val="000000"/>
                <w:sz w:val="18"/>
                <w:szCs w:val="18"/>
              </w:rPr>
              <w:t>日）</w:t>
            </w:r>
          </w:p>
        </w:tc>
      </w:tr>
    </w:tbl>
    <w:p w:rsidR="00831030" w:rsidRPr="005E4592" w:rsidRDefault="00217C1F" w:rsidP="00A422E1">
      <w:pPr>
        <w:spacing w:beforeLines="100" w:afterLines="50"/>
        <w:ind w:leftChars="1350" w:left="2835" w:firstLineChars="196" w:firstLine="472"/>
        <w:rPr>
          <w:rFonts w:ascii="黑体" w:eastAsia="黑体" w:hAnsi="宋体-18030" w:cs="宋体-18030"/>
          <w:b/>
          <w:bCs/>
          <w:color w:val="003366"/>
          <w:kern w:val="44"/>
          <w:sz w:val="24"/>
        </w:rPr>
      </w:pPr>
      <w:r w:rsidRPr="005E4592">
        <w:rPr>
          <w:rFonts w:ascii="黑体" w:eastAsia="黑体" w:hAnsi="宋体-18030" w:cs="宋体-18030" w:hint="eastAsia"/>
          <w:b/>
          <w:bCs/>
          <w:color w:val="003366"/>
          <w:kern w:val="44"/>
          <w:sz w:val="24"/>
        </w:rPr>
        <w:t>（三）</w:t>
      </w:r>
      <w:r w:rsidR="00831030" w:rsidRPr="005E4592">
        <w:rPr>
          <w:rFonts w:ascii="黑体" w:eastAsia="黑体" w:hAnsi="宋体-18030" w:cs="宋体-18030" w:hint="eastAsia"/>
          <w:b/>
          <w:bCs/>
          <w:color w:val="003366"/>
          <w:kern w:val="44"/>
          <w:sz w:val="24"/>
        </w:rPr>
        <w:t>影响市场的信息</w:t>
      </w:r>
      <w:r w:rsidR="00873401" w:rsidRPr="005E4592">
        <w:rPr>
          <w:rFonts w:ascii="黑体" w:eastAsia="黑体" w:hAnsi="宋体-18030" w:cs="宋体-18030" w:hint="eastAsia"/>
          <w:b/>
          <w:bCs/>
          <w:color w:val="003366"/>
          <w:kern w:val="44"/>
          <w:sz w:val="24"/>
        </w:rPr>
        <w:t>和数据</w:t>
      </w:r>
    </w:p>
    <w:p w:rsidR="006F303B" w:rsidRPr="00A40CD8" w:rsidRDefault="00FA758A" w:rsidP="00A422E1">
      <w:pPr>
        <w:spacing w:beforeLines="50"/>
        <w:ind w:leftChars="1350" w:left="2835" w:firstLineChars="202" w:firstLine="424"/>
        <w:rPr>
          <w:rFonts w:ascii="楷体_GB2312" w:eastAsia="楷体_GB2312" w:hAnsi="宋体" w:cs="宋体"/>
          <w:kern w:val="0"/>
          <w:szCs w:val="21"/>
        </w:rPr>
      </w:pPr>
      <w:r w:rsidRPr="00A40CD8">
        <w:rPr>
          <w:rFonts w:ascii="楷体_GB2312" w:eastAsia="楷体_GB2312" w:hAnsi="宋体" w:cs="宋体" w:hint="eastAsia"/>
          <w:kern w:val="0"/>
          <w:szCs w:val="21"/>
        </w:rPr>
        <w:t>1月份全球</w:t>
      </w:r>
      <w:r w:rsidR="006F303B" w:rsidRPr="00A40CD8">
        <w:rPr>
          <w:rFonts w:ascii="楷体_GB2312" w:eastAsia="楷体_GB2312" w:hAnsi="宋体" w:cs="宋体" w:hint="eastAsia"/>
          <w:kern w:val="0"/>
          <w:szCs w:val="21"/>
        </w:rPr>
        <w:t>经济出现好转</w:t>
      </w:r>
      <w:r w:rsidRPr="00A40CD8">
        <w:rPr>
          <w:rFonts w:ascii="楷体_GB2312" w:eastAsia="楷体_GB2312" w:hAnsi="宋体" w:cs="宋体" w:hint="eastAsia"/>
          <w:kern w:val="0"/>
          <w:szCs w:val="21"/>
        </w:rPr>
        <w:t>，</w:t>
      </w:r>
      <w:r w:rsidR="006F303B" w:rsidRPr="00A40CD8">
        <w:rPr>
          <w:rFonts w:ascii="楷体_GB2312" w:eastAsia="楷体_GB2312" w:hAnsi="宋体" w:cs="宋体" w:hint="eastAsia"/>
          <w:kern w:val="0"/>
          <w:szCs w:val="21"/>
        </w:rPr>
        <w:t>欧元区</w:t>
      </w:r>
      <w:r w:rsidR="00E06D87">
        <w:rPr>
          <w:rFonts w:ascii="楷体_GB2312" w:eastAsia="楷体_GB2312" w:hAnsi="宋体" w:cs="宋体"/>
          <w:kern w:val="0"/>
          <w:szCs w:val="21"/>
        </w:rPr>
        <w:t>1</w:t>
      </w:r>
      <w:r w:rsidR="006F303B" w:rsidRPr="00A40CD8">
        <w:rPr>
          <w:rFonts w:ascii="楷体_GB2312" w:eastAsia="楷体_GB2312" w:hAnsi="宋体" w:cs="宋体" w:hint="eastAsia"/>
          <w:kern w:val="0"/>
          <w:szCs w:val="21"/>
        </w:rPr>
        <w:t>月</w:t>
      </w:r>
      <w:r w:rsidR="00E06D87">
        <w:rPr>
          <w:rFonts w:ascii="楷体_GB2312" w:eastAsia="楷体_GB2312" w:hAnsi="宋体" w:cs="宋体"/>
          <w:kern w:val="0"/>
          <w:szCs w:val="21"/>
        </w:rPr>
        <w:t>Markit</w:t>
      </w:r>
      <w:r w:rsidR="006F303B" w:rsidRPr="00A40CD8">
        <w:rPr>
          <w:rFonts w:ascii="楷体_GB2312" w:eastAsia="楷体_GB2312" w:hAnsi="宋体" w:cs="宋体" w:hint="eastAsia"/>
          <w:kern w:val="0"/>
          <w:szCs w:val="21"/>
        </w:rPr>
        <w:t>制造业采购经理人指</w:t>
      </w:r>
      <w:r w:rsidR="006F303B" w:rsidRPr="00A40CD8">
        <w:rPr>
          <w:rFonts w:ascii="楷体_GB2312" w:eastAsia="楷体_GB2312" w:hAnsi="宋体" w:cs="宋体" w:hint="eastAsia"/>
          <w:kern w:val="0"/>
          <w:szCs w:val="21"/>
        </w:rPr>
        <w:lastRenderedPageBreak/>
        <w:t>数</w:t>
      </w:r>
      <w:r w:rsidR="006F303B" w:rsidRPr="00A40CD8">
        <w:rPr>
          <w:rFonts w:ascii="楷体_GB2312" w:eastAsia="楷体_GB2312" w:hAnsi="宋体" w:cs="宋体"/>
          <w:kern w:val="0"/>
          <w:szCs w:val="21"/>
        </w:rPr>
        <w:t>(PMI)</w:t>
      </w:r>
      <w:r w:rsidR="006F303B" w:rsidRPr="00A40CD8">
        <w:rPr>
          <w:rFonts w:ascii="楷体_GB2312" w:eastAsia="楷体_GB2312" w:hAnsi="宋体" w:cs="宋体" w:hint="eastAsia"/>
          <w:kern w:val="0"/>
          <w:szCs w:val="21"/>
        </w:rPr>
        <w:t>终值为</w:t>
      </w:r>
      <w:r w:rsidR="006F303B" w:rsidRPr="00A40CD8">
        <w:rPr>
          <w:rFonts w:ascii="楷体_GB2312" w:eastAsia="楷体_GB2312" w:hAnsi="宋体" w:cs="宋体"/>
          <w:kern w:val="0"/>
          <w:szCs w:val="21"/>
        </w:rPr>
        <w:t>54.0</w:t>
      </w:r>
      <w:r w:rsidR="006F303B" w:rsidRPr="00A40CD8">
        <w:rPr>
          <w:rFonts w:ascii="楷体_GB2312" w:eastAsia="楷体_GB2312" w:hAnsi="宋体" w:cs="宋体" w:hint="eastAsia"/>
          <w:kern w:val="0"/>
          <w:szCs w:val="21"/>
        </w:rPr>
        <w:t>，创下</w:t>
      </w:r>
      <w:r w:rsidR="006F303B" w:rsidRPr="00A40CD8">
        <w:rPr>
          <w:rFonts w:ascii="楷体_GB2312" w:eastAsia="楷体_GB2312" w:hAnsi="宋体" w:cs="宋体"/>
          <w:kern w:val="0"/>
          <w:szCs w:val="21"/>
        </w:rPr>
        <w:t>2011</w:t>
      </w:r>
      <w:r w:rsidR="006F303B" w:rsidRPr="00A40CD8">
        <w:rPr>
          <w:rFonts w:ascii="楷体_GB2312" w:eastAsia="楷体_GB2312" w:hAnsi="宋体" w:cs="宋体" w:hint="eastAsia"/>
          <w:kern w:val="0"/>
          <w:szCs w:val="21"/>
        </w:rPr>
        <w:t>年</w:t>
      </w:r>
      <w:r w:rsidR="00E06D87">
        <w:rPr>
          <w:rFonts w:ascii="楷体_GB2312" w:eastAsia="楷体_GB2312" w:hAnsi="宋体" w:cs="宋体"/>
          <w:kern w:val="0"/>
          <w:szCs w:val="21"/>
        </w:rPr>
        <w:t>5</w:t>
      </w:r>
      <w:r w:rsidR="006F303B" w:rsidRPr="00A40CD8">
        <w:rPr>
          <w:rFonts w:ascii="楷体_GB2312" w:eastAsia="楷体_GB2312" w:hAnsi="宋体" w:cs="宋体" w:hint="eastAsia"/>
          <w:kern w:val="0"/>
          <w:szCs w:val="21"/>
        </w:rPr>
        <w:t>月以来最高</w:t>
      </w:r>
      <w:r w:rsidR="00141C52" w:rsidRPr="00A40CD8">
        <w:rPr>
          <w:rFonts w:ascii="楷体_GB2312" w:eastAsia="楷体_GB2312" w:hAnsi="宋体" w:cs="宋体" w:hint="eastAsia"/>
          <w:kern w:val="0"/>
          <w:szCs w:val="21"/>
        </w:rPr>
        <w:t>，2月初值虽然有所下滑，但仍然在</w:t>
      </w:r>
      <w:r w:rsidR="00E06D87">
        <w:rPr>
          <w:rFonts w:ascii="楷体_GB2312" w:eastAsia="楷体_GB2312" w:hAnsi="宋体" w:cs="宋体"/>
          <w:kern w:val="0"/>
          <w:szCs w:val="21"/>
        </w:rPr>
        <w:t>2011</w:t>
      </w:r>
      <w:r w:rsidR="008E2D21" w:rsidRPr="00A40CD8">
        <w:rPr>
          <w:rFonts w:ascii="楷体_GB2312" w:eastAsia="楷体_GB2312" w:hAnsi="宋体" w:cs="宋体" w:hint="eastAsia"/>
          <w:kern w:val="0"/>
          <w:szCs w:val="21"/>
        </w:rPr>
        <w:t>年</w:t>
      </w:r>
      <w:r w:rsidR="00E06D87">
        <w:rPr>
          <w:rFonts w:ascii="楷体_GB2312" w:eastAsia="楷体_GB2312" w:hAnsi="宋体" w:cs="宋体"/>
          <w:kern w:val="0"/>
          <w:szCs w:val="21"/>
        </w:rPr>
        <w:t>5</w:t>
      </w:r>
      <w:r w:rsidR="008E2D21" w:rsidRPr="00A40CD8">
        <w:rPr>
          <w:rFonts w:ascii="楷体_GB2312" w:eastAsia="楷体_GB2312" w:hAnsi="宋体" w:cs="宋体" w:hint="eastAsia"/>
          <w:kern w:val="0"/>
          <w:szCs w:val="21"/>
        </w:rPr>
        <w:t>月以来的高位水平</w:t>
      </w:r>
      <w:r w:rsidR="006F303B" w:rsidRPr="00A40CD8">
        <w:rPr>
          <w:rFonts w:ascii="楷体_GB2312" w:eastAsia="楷体_GB2312" w:hAnsi="宋体" w:cs="宋体" w:hint="eastAsia"/>
          <w:kern w:val="0"/>
          <w:szCs w:val="21"/>
        </w:rPr>
        <w:t>。</w:t>
      </w:r>
      <w:r w:rsidR="008E2D21" w:rsidRPr="00A40CD8">
        <w:rPr>
          <w:rFonts w:ascii="楷体_GB2312" w:eastAsia="楷体_GB2312" w:hAnsi="宋体" w:cs="宋体" w:hint="eastAsia"/>
          <w:kern w:val="0"/>
          <w:szCs w:val="21"/>
        </w:rPr>
        <w:t>1月欧元</w:t>
      </w:r>
      <w:r w:rsidR="00141C52" w:rsidRPr="00A40CD8">
        <w:rPr>
          <w:rFonts w:ascii="楷体_GB2312" w:eastAsia="楷体_GB2312" w:hAnsi="宋体" w:cs="宋体" w:hint="eastAsia"/>
          <w:kern w:val="0"/>
          <w:szCs w:val="21"/>
        </w:rPr>
        <w:t>区PPI指标</w:t>
      </w:r>
      <w:r w:rsidR="00A40CD8" w:rsidRPr="00A40CD8">
        <w:rPr>
          <w:rFonts w:ascii="楷体_GB2312" w:eastAsia="楷体_GB2312" w:hAnsi="宋体" w:cs="宋体" w:hint="eastAsia"/>
          <w:kern w:val="0"/>
          <w:szCs w:val="21"/>
        </w:rPr>
        <w:t>下跌0.3%，显示低通胀率或仍然威胁欧元区的经济复苏。</w:t>
      </w:r>
    </w:p>
    <w:tbl>
      <w:tblPr>
        <w:tblW w:w="9356" w:type="dxa"/>
        <w:tblInd w:w="-34" w:type="dxa"/>
        <w:tblLayout w:type="fixed"/>
        <w:tblLook w:val="04A0"/>
      </w:tblPr>
      <w:tblGrid>
        <w:gridCol w:w="4678"/>
        <w:gridCol w:w="142"/>
        <w:gridCol w:w="4536"/>
      </w:tblGrid>
      <w:tr w:rsidR="00A67714" w:rsidRPr="00051DF8" w:rsidTr="00A422E1">
        <w:tc>
          <w:tcPr>
            <w:tcW w:w="4820" w:type="dxa"/>
            <w:gridSpan w:val="2"/>
            <w:tcBorders>
              <w:bottom w:val="single" w:sz="4" w:space="0" w:color="FF0000"/>
            </w:tcBorders>
          </w:tcPr>
          <w:p w:rsidR="00A67714" w:rsidRPr="00144B03" w:rsidRDefault="00A67714" w:rsidP="005E24D9">
            <w:pPr>
              <w:spacing w:line="360" w:lineRule="auto"/>
              <w:ind w:left="33" w:hangingChars="18" w:hanging="33"/>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8</w:t>
            </w:r>
            <w:r w:rsidRPr="00144B03">
              <w:rPr>
                <w:rFonts w:ascii="楷体_GB2312" w:eastAsia="楷体_GB2312" w:hint="eastAsia"/>
                <w:b/>
                <w:color w:val="000000"/>
                <w:sz w:val="18"/>
                <w:szCs w:val="18"/>
              </w:rPr>
              <w:t>、</w:t>
            </w:r>
            <w:r>
              <w:rPr>
                <w:rFonts w:ascii="楷体_GB2312" w:eastAsia="楷体_GB2312" w:hint="eastAsia"/>
                <w:b/>
                <w:color w:val="000000"/>
                <w:sz w:val="18"/>
                <w:szCs w:val="18"/>
              </w:rPr>
              <w:t>欧盟：欧元区：制造业PMI</w:t>
            </w:r>
          </w:p>
        </w:tc>
        <w:tc>
          <w:tcPr>
            <w:tcW w:w="4536" w:type="dxa"/>
            <w:tcBorders>
              <w:bottom w:val="single" w:sz="4" w:space="0" w:color="FF0000"/>
            </w:tcBorders>
          </w:tcPr>
          <w:p w:rsidR="00A67714" w:rsidRPr="00144B03" w:rsidRDefault="00A67714" w:rsidP="005E24D9">
            <w:pPr>
              <w:spacing w:line="360" w:lineRule="auto"/>
              <w:ind w:left="4017" w:hangingChars="2223" w:hanging="4017"/>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9</w:t>
            </w:r>
            <w:r w:rsidRPr="00144B03">
              <w:rPr>
                <w:rFonts w:ascii="楷体_GB2312" w:eastAsia="楷体_GB2312" w:hint="eastAsia"/>
                <w:b/>
                <w:color w:val="000000"/>
                <w:sz w:val="18"/>
                <w:szCs w:val="18"/>
              </w:rPr>
              <w:t>、</w:t>
            </w:r>
            <w:r>
              <w:rPr>
                <w:rFonts w:ascii="楷体_GB2312" w:eastAsia="楷体_GB2312" w:hint="eastAsia"/>
                <w:b/>
                <w:color w:val="000000"/>
                <w:sz w:val="18"/>
                <w:szCs w:val="18"/>
              </w:rPr>
              <w:t>欧盟：欧元区：PPI：环比</w:t>
            </w:r>
            <w:r w:rsidR="00601217">
              <w:rPr>
                <w:rFonts w:ascii="楷体_GB2312" w:eastAsia="楷体_GB2312" w:hint="eastAsia"/>
                <w:b/>
                <w:color w:val="000000"/>
                <w:sz w:val="18"/>
                <w:szCs w:val="18"/>
              </w:rPr>
              <w:t>（%）</w:t>
            </w:r>
          </w:p>
        </w:tc>
      </w:tr>
      <w:tr w:rsidR="00A67714" w:rsidRPr="00B22D95" w:rsidTr="00A422E1">
        <w:tc>
          <w:tcPr>
            <w:tcW w:w="4678" w:type="dxa"/>
            <w:tcBorders>
              <w:top w:val="single" w:sz="4" w:space="0" w:color="FF0000"/>
              <w:bottom w:val="single" w:sz="4" w:space="0" w:color="FF0000"/>
            </w:tcBorders>
          </w:tcPr>
          <w:p w:rsidR="00A67714" w:rsidRPr="00B22D95" w:rsidRDefault="00A67714" w:rsidP="00A422E1">
            <w:pPr>
              <w:spacing w:line="360" w:lineRule="auto"/>
              <w:ind w:leftChars="16" w:left="34"/>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28925" cy="1362075"/>
                  <wp:effectExtent l="19050" t="0" r="9525"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0" cstate="print"/>
                          <a:srcRect/>
                          <a:stretch>
                            <a:fillRect/>
                          </a:stretch>
                        </pic:blipFill>
                        <pic:spPr bwMode="auto">
                          <a:xfrm>
                            <a:off x="0" y="0"/>
                            <a:ext cx="2828925" cy="1362075"/>
                          </a:xfrm>
                          <a:prstGeom prst="rect">
                            <a:avLst/>
                          </a:prstGeom>
                          <a:noFill/>
                          <a:ln w="9525">
                            <a:noFill/>
                            <a:miter lim="800000"/>
                            <a:headEnd/>
                            <a:tailEnd/>
                          </a:ln>
                        </pic:spPr>
                      </pic:pic>
                    </a:graphicData>
                  </a:graphic>
                </wp:inline>
              </w:drawing>
            </w:r>
          </w:p>
        </w:tc>
        <w:tc>
          <w:tcPr>
            <w:tcW w:w="4678" w:type="dxa"/>
            <w:gridSpan w:val="2"/>
            <w:tcBorders>
              <w:top w:val="single" w:sz="4" w:space="0" w:color="FF0000"/>
              <w:bottom w:val="single" w:sz="4" w:space="0" w:color="FF0000"/>
            </w:tcBorders>
          </w:tcPr>
          <w:p w:rsidR="00A67714" w:rsidRPr="00B22D95" w:rsidRDefault="00A67714" w:rsidP="00A422E1">
            <w:pPr>
              <w:spacing w:line="360" w:lineRule="auto"/>
              <w:ind w:left="1" w:firstLineChars="18" w:firstLine="32"/>
              <w:jc w:val="right"/>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28925" cy="1400175"/>
                  <wp:effectExtent l="19050" t="0" r="9525"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1" cstate="print"/>
                          <a:srcRect/>
                          <a:stretch>
                            <a:fillRect/>
                          </a:stretch>
                        </pic:blipFill>
                        <pic:spPr bwMode="auto">
                          <a:xfrm>
                            <a:off x="0" y="0"/>
                            <a:ext cx="2828925" cy="1400175"/>
                          </a:xfrm>
                          <a:prstGeom prst="rect">
                            <a:avLst/>
                          </a:prstGeom>
                          <a:noFill/>
                          <a:ln w="9525">
                            <a:noFill/>
                            <a:miter lim="800000"/>
                            <a:headEnd/>
                            <a:tailEnd/>
                          </a:ln>
                        </pic:spPr>
                      </pic:pic>
                    </a:graphicData>
                  </a:graphic>
                </wp:inline>
              </w:drawing>
            </w:r>
          </w:p>
        </w:tc>
      </w:tr>
    </w:tbl>
    <w:p w:rsidR="00A67714" w:rsidRPr="00156066" w:rsidRDefault="00A67714" w:rsidP="00A67714">
      <w:pPr>
        <w:rPr>
          <w:rFonts w:ascii="楷体_GB2312" w:eastAsia="楷体_GB2312"/>
          <w:noProof/>
          <w:color w:val="000000"/>
        </w:rPr>
      </w:pPr>
      <w:r>
        <w:rPr>
          <w:rFonts w:ascii="楷体_GB2312" w:eastAsia="楷体_GB2312" w:hint="eastAsia"/>
          <w:noProof/>
          <w:color w:val="000000"/>
        </w:rPr>
        <w:t>来源：</w:t>
      </w:r>
      <w:r w:rsidRPr="00156066">
        <w:rPr>
          <w:rFonts w:ascii="楷体_GB2312" w:eastAsia="楷体_GB2312" w:hint="eastAsia"/>
          <w:noProof/>
          <w:color w:val="000000"/>
        </w:rPr>
        <w:t>wind</w:t>
      </w:r>
      <w:r>
        <w:rPr>
          <w:rFonts w:ascii="楷体_GB2312" w:eastAsia="楷体_GB2312" w:hint="eastAsia"/>
          <w:noProof/>
          <w:color w:val="000000"/>
        </w:rPr>
        <w:t>，</w:t>
      </w:r>
      <w:r w:rsidRPr="00156066">
        <w:rPr>
          <w:rFonts w:ascii="楷体_GB2312" w:eastAsia="楷体_GB2312" w:hint="eastAsia"/>
          <w:noProof/>
          <w:color w:val="000000"/>
        </w:rPr>
        <w:t>上海证券基金评价研究中心</w:t>
      </w:r>
    </w:p>
    <w:p w:rsidR="00A40CD8" w:rsidRPr="00C251C0" w:rsidRDefault="003D118B" w:rsidP="00A422E1">
      <w:pPr>
        <w:spacing w:beforeLines="50"/>
        <w:ind w:leftChars="1350" w:left="2835" w:firstLineChars="202" w:firstLine="424"/>
        <w:rPr>
          <w:rFonts w:ascii="楷体_GB2312" w:eastAsia="楷体_GB2312" w:hAnsi="宋体" w:cs="宋体"/>
          <w:kern w:val="0"/>
          <w:szCs w:val="21"/>
        </w:rPr>
      </w:pPr>
      <w:r w:rsidRPr="00C251C0">
        <w:rPr>
          <w:rFonts w:ascii="楷体_GB2312" w:eastAsia="楷体_GB2312" w:hAnsi="宋体" w:cs="宋体"/>
          <w:kern w:val="0"/>
          <w:szCs w:val="21"/>
        </w:rPr>
        <w:t>美国制造业扩张速度在2月回升至53.2，升幅好于市场预期，脱离1月份所创2013年5月份以来最低水平。</w:t>
      </w:r>
      <w:r w:rsidR="00C251C0" w:rsidRPr="00C251C0">
        <w:rPr>
          <w:rFonts w:ascii="楷体_GB2312" w:eastAsia="楷体_GB2312" w:hAnsi="宋体" w:cs="宋体" w:hint="eastAsia"/>
          <w:kern w:val="0"/>
          <w:szCs w:val="21"/>
        </w:rPr>
        <w:t>建造支出数据也显示美国房地产市场仍然处于持续向好。</w:t>
      </w:r>
    </w:p>
    <w:tbl>
      <w:tblPr>
        <w:tblW w:w="9356" w:type="dxa"/>
        <w:tblInd w:w="-34" w:type="dxa"/>
        <w:tblLayout w:type="fixed"/>
        <w:tblLook w:val="04A0"/>
      </w:tblPr>
      <w:tblGrid>
        <w:gridCol w:w="4678"/>
        <w:gridCol w:w="142"/>
        <w:gridCol w:w="4536"/>
      </w:tblGrid>
      <w:tr w:rsidR="00601217" w:rsidRPr="00051DF8" w:rsidTr="00A422E1">
        <w:tc>
          <w:tcPr>
            <w:tcW w:w="4820" w:type="dxa"/>
            <w:gridSpan w:val="2"/>
            <w:tcBorders>
              <w:bottom w:val="single" w:sz="4" w:space="0" w:color="FF0000"/>
            </w:tcBorders>
          </w:tcPr>
          <w:p w:rsidR="00601217" w:rsidRPr="00144B03" w:rsidRDefault="00601217" w:rsidP="005E24D9">
            <w:pPr>
              <w:spacing w:line="360" w:lineRule="auto"/>
              <w:ind w:left="33" w:hangingChars="18" w:hanging="33"/>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10</w:t>
            </w:r>
            <w:r w:rsidRPr="00144B03">
              <w:rPr>
                <w:rFonts w:ascii="楷体_GB2312" w:eastAsia="楷体_GB2312" w:hint="eastAsia"/>
                <w:b/>
                <w:color w:val="000000"/>
                <w:sz w:val="18"/>
                <w:szCs w:val="18"/>
              </w:rPr>
              <w:t>、</w:t>
            </w:r>
            <w:r>
              <w:rPr>
                <w:rFonts w:ascii="楷体_GB2312" w:eastAsia="楷体_GB2312" w:hint="eastAsia"/>
                <w:b/>
                <w:color w:val="000000"/>
                <w:sz w:val="18"/>
                <w:szCs w:val="18"/>
              </w:rPr>
              <w:t>美国：制造业PMI</w:t>
            </w:r>
          </w:p>
        </w:tc>
        <w:tc>
          <w:tcPr>
            <w:tcW w:w="4536" w:type="dxa"/>
            <w:tcBorders>
              <w:bottom w:val="single" w:sz="4" w:space="0" w:color="FF0000"/>
            </w:tcBorders>
          </w:tcPr>
          <w:p w:rsidR="00601217" w:rsidRPr="00144B03" w:rsidRDefault="00601217" w:rsidP="005E24D9">
            <w:pPr>
              <w:spacing w:line="360" w:lineRule="auto"/>
              <w:ind w:left="4017" w:hangingChars="2223" w:hanging="4017"/>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11</w:t>
            </w:r>
            <w:r w:rsidRPr="00144B03">
              <w:rPr>
                <w:rFonts w:ascii="楷体_GB2312" w:eastAsia="楷体_GB2312" w:hint="eastAsia"/>
                <w:b/>
                <w:color w:val="000000"/>
                <w:sz w:val="18"/>
                <w:szCs w:val="18"/>
              </w:rPr>
              <w:t>、</w:t>
            </w:r>
            <w:r w:rsidR="00A650F8">
              <w:rPr>
                <w:rFonts w:ascii="楷体_GB2312" w:eastAsia="楷体_GB2312" w:hint="eastAsia"/>
                <w:b/>
                <w:color w:val="000000"/>
                <w:sz w:val="18"/>
                <w:szCs w:val="18"/>
              </w:rPr>
              <w:t>美国：建造支出（百万美元）</w:t>
            </w:r>
          </w:p>
        </w:tc>
      </w:tr>
      <w:tr w:rsidR="00601217" w:rsidRPr="00B22D95" w:rsidTr="00A422E1">
        <w:tc>
          <w:tcPr>
            <w:tcW w:w="4678" w:type="dxa"/>
            <w:tcBorders>
              <w:top w:val="single" w:sz="4" w:space="0" w:color="FF0000"/>
              <w:bottom w:val="single" w:sz="4" w:space="0" w:color="FF0000"/>
            </w:tcBorders>
          </w:tcPr>
          <w:p w:rsidR="00601217" w:rsidRPr="00B22D95" w:rsidRDefault="00601217" w:rsidP="00A422E1">
            <w:pPr>
              <w:spacing w:line="360" w:lineRule="auto"/>
              <w:ind w:leftChars="16" w:left="34"/>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25944" cy="1498806"/>
                  <wp:effectExtent l="1905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2" cstate="print"/>
                          <a:srcRect/>
                          <a:stretch>
                            <a:fillRect/>
                          </a:stretch>
                        </pic:blipFill>
                        <pic:spPr bwMode="auto">
                          <a:xfrm>
                            <a:off x="0" y="0"/>
                            <a:ext cx="2828925" cy="1500387"/>
                          </a:xfrm>
                          <a:prstGeom prst="rect">
                            <a:avLst/>
                          </a:prstGeom>
                          <a:noFill/>
                          <a:ln w="9525">
                            <a:noFill/>
                            <a:miter lim="800000"/>
                            <a:headEnd/>
                            <a:tailEnd/>
                          </a:ln>
                        </pic:spPr>
                      </pic:pic>
                    </a:graphicData>
                  </a:graphic>
                </wp:inline>
              </w:drawing>
            </w:r>
          </w:p>
        </w:tc>
        <w:tc>
          <w:tcPr>
            <w:tcW w:w="4678" w:type="dxa"/>
            <w:gridSpan w:val="2"/>
            <w:tcBorders>
              <w:top w:val="single" w:sz="4" w:space="0" w:color="FF0000"/>
              <w:bottom w:val="single" w:sz="4" w:space="0" w:color="FF0000"/>
            </w:tcBorders>
          </w:tcPr>
          <w:p w:rsidR="00601217" w:rsidRPr="00B22D95" w:rsidRDefault="00A650F8" w:rsidP="00A422E1">
            <w:pPr>
              <w:spacing w:line="360" w:lineRule="auto"/>
              <w:ind w:left="1" w:firstLineChars="18" w:firstLine="32"/>
              <w:jc w:val="right"/>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25943" cy="1478720"/>
                  <wp:effectExtent l="1905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3" cstate="print"/>
                          <a:srcRect/>
                          <a:stretch>
                            <a:fillRect/>
                          </a:stretch>
                        </pic:blipFill>
                        <pic:spPr bwMode="auto">
                          <a:xfrm>
                            <a:off x="0" y="0"/>
                            <a:ext cx="2829351" cy="1480503"/>
                          </a:xfrm>
                          <a:prstGeom prst="rect">
                            <a:avLst/>
                          </a:prstGeom>
                          <a:noFill/>
                          <a:ln w="9525">
                            <a:noFill/>
                            <a:miter lim="800000"/>
                            <a:headEnd/>
                            <a:tailEnd/>
                          </a:ln>
                        </pic:spPr>
                      </pic:pic>
                    </a:graphicData>
                  </a:graphic>
                </wp:inline>
              </w:drawing>
            </w:r>
          </w:p>
        </w:tc>
      </w:tr>
    </w:tbl>
    <w:p w:rsidR="00601217" w:rsidRPr="00156066" w:rsidRDefault="00601217" w:rsidP="00601217">
      <w:pPr>
        <w:rPr>
          <w:rFonts w:ascii="楷体_GB2312" w:eastAsia="楷体_GB2312"/>
          <w:noProof/>
          <w:color w:val="000000"/>
        </w:rPr>
      </w:pPr>
      <w:r>
        <w:rPr>
          <w:rFonts w:ascii="楷体_GB2312" w:eastAsia="楷体_GB2312" w:hint="eastAsia"/>
          <w:noProof/>
          <w:color w:val="000000"/>
        </w:rPr>
        <w:t>来源：</w:t>
      </w:r>
      <w:r w:rsidRPr="00156066">
        <w:rPr>
          <w:rFonts w:ascii="楷体_GB2312" w:eastAsia="楷体_GB2312" w:hint="eastAsia"/>
          <w:noProof/>
          <w:color w:val="000000"/>
        </w:rPr>
        <w:t>wind</w:t>
      </w:r>
      <w:r>
        <w:rPr>
          <w:rFonts w:ascii="楷体_GB2312" w:eastAsia="楷体_GB2312" w:hint="eastAsia"/>
          <w:noProof/>
          <w:color w:val="000000"/>
        </w:rPr>
        <w:t>，</w:t>
      </w:r>
      <w:r w:rsidRPr="00156066">
        <w:rPr>
          <w:rFonts w:ascii="楷体_GB2312" w:eastAsia="楷体_GB2312" w:hint="eastAsia"/>
          <w:noProof/>
          <w:color w:val="000000"/>
        </w:rPr>
        <w:t>上海证券基金评价研究中心</w:t>
      </w:r>
    </w:p>
    <w:p w:rsidR="000B3575" w:rsidRPr="00C251C0" w:rsidRDefault="000B3575" w:rsidP="00A422E1">
      <w:pPr>
        <w:spacing w:beforeLines="50"/>
        <w:ind w:leftChars="1350" w:left="2835" w:firstLineChars="202" w:firstLine="424"/>
        <w:rPr>
          <w:rFonts w:ascii="楷体_GB2312" w:eastAsia="楷体_GB2312" w:hAnsi="宋体" w:cs="宋体"/>
          <w:kern w:val="0"/>
          <w:szCs w:val="21"/>
        </w:rPr>
      </w:pPr>
      <w:r>
        <w:rPr>
          <w:rFonts w:ascii="楷体_GB2312" w:eastAsia="楷体_GB2312" w:hAnsi="宋体" w:cs="宋体" w:hint="eastAsia"/>
          <w:kern w:val="0"/>
          <w:szCs w:val="21"/>
        </w:rPr>
        <w:t>中国经济继续面临压力</w:t>
      </w:r>
      <w:r w:rsidRPr="00C251C0">
        <w:rPr>
          <w:rFonts w:ascii="楷体_GB2312" w:eastAsia="楷体_GB2312" w:hAnsi="宋体" w:cs="宋体" w:hint="eastAsia"/>
          <w:kern w:val="0"/>
          <w:szCs w:val="21"/>
        </w:rPr>
        <w:t>。</w:t>
      </w:r>
      <w:r w:rsidR="00461CEA">
        <w:rPr>
          <w:rFonts w:ascii="楷体_GB2312" w:eastAsia="楷体_GB2312" w:hAnsi="宋体" w:cs="宋体" w:hint="eastAsia"/>
          <w:kern w:val="0"/>
          <w:szCs w:val="21"/>
        </w:rPr>
        <w:t>汇丰</w:t>
      </w:r>
      <w:r w:rsidR="00BF7FF4">
        <w:rPr>
          <w:rFonts w:ascii="楷体_GB2312" w:eastAsia="楷体_GB2312" w:hAnsi="宋体" w:cs="宋体" w:hint="eastAsia"/>
          <w:kern w:val="0"/>
          <w:szCs w:val="21"/>
        </w:rPr>
        <w:t>PMI</w:t>
      </w:r>
      <w:r w:rsidR="00BF7FF4">
        <w:rPr>
          <w:rFonts w:hint="eastAsia"/>
          <w:color w:val="333333"/>
          <w:sz w:val="18"/>
          <w:szCs w:val="18"/>
          <w:shd w:val="clear" w:color="auto" w:fill="FFFFFF"/>
        </w:rPr>
        <w:t>（</w:t>
      </w:r>
      <w:r w:rsidR="00461CEA">
        <w:rPr>
          <w:rFonts w:ascii="楷体_GB2312" w:eastAsia="楷体_GB2312" w:hAnsi="宋体" w:cs="宋体" w:hint="eastAsia"/>
          <w:kern w:val="0"/>
          <w:szCs w:val="21"/>
        </w:rPr>
        <w:t>制造业</w:t>
      </w:r>
      <w:r w:rsidR="00BF7FF4">
        <w:rPr>
          <w:rFonts w:hint="eastAsia"/>
          <w:color w:val="333333"/>
          <w:sz w:val="18"/>
          <w:szCs w:val="18"/>
          <w:shd w:val="clear" w:color="auto" w:fill="FFFFFF"/>
        </w:rPr>
        <w:t>采购经理人指数</w:t>
      </w:r>
      <w:r w:rsidR="00BF7FF4">
        <w:rPr>
          <w:rFonts w:ascii="楷体_GB2312" w:eastAsia="楷体_GB2312" w:hAnsi="宋体" w:cs="宋体" w:hint="eastAsia"/>
          <w:kern w:val="0"/>
          <w:szCs w:val="21"/>
        </w:rPr>
        <w:t>）</w:t>
      </w:r>
      <w:r w:rsidR="00461CEA">
        <w:rPr>
          <w:rFonts w:ascii="楷体_GB2312" w:eastAsia="楷体_GB2312" w:hAnsi="宋体" w:cs="宋体" w:hint="eastAsia"/>
          <w:kern w:val="0"/>
          <w:szCs w:val="21"/>
        </w:rPr>
        <w:t>和国家统计局PMI指数</w:t>
      </w:r>
      <w:r w:rsidR="00BF7FF4">
        <w:rPr>
          <w:rFonts w:ascii="楷体_GB2312" w:eastAsia="楷体_GB2312" w:hAnsi="宋体" w:cs="宋体" w:hint="eastAsia"/>
          <w:kern w:val="0"/>
          <w:szCs w:val="21"/>
        </w:rPr>
        <w:t>均持续数月下行</w:t>
      </w:r>
      <w:r w:rsidR="006F6944">
        <w:rPr>
          <w:rFonts w:ascii="楷体_GB2312" w:eastAsia="楷体_GB2312" w:hAnsi="宋体" w:cs="宋体" w:hint="eastAsia"/>
          <w:kern w:val="0"/>
          <w:szCs w:val="21"/>
        </w:rPr>
        <w:t>，短期内这一局面难以改善。</w:t>
      </w:r>
    </w:p>
    <w:tbl>
      <w:tblPr>
        <w:tblW w:w="9356" w:type="dxa"/>
        <w:tblInd w:w="-34" w:type="dxa"/>
        <w:tblLayout w:type="fixed"/>
        <w:tblLook w:val="04A0"/>
      </w:tblPr>
      <w:tblGrid>
        <w:gridCol w:w="4678"/>
        <w:gridCol w:w="142"/>
        <w:gridCol w:w="4536"/>
      </w:tblGrid>
      <w:tr w:rsidR="000B3575" w:rsidRPr="00051DF8" w:rsidTr="00A422E1">
        <w:tc>
          <w:tcPr>
            <w:tcW w:w="4820" w:type="dxa"/>
            <w:gridSpan w:val="2"/>
            <w:tcBorders>
              <w:bottom w:val="single" w:sz="4" w:space="0" w:color="FF0000"/>
            </w:tcBorders>
          </w:tcPr>
          <w:p w:rsidR="000B3575" w:rsidRPr="00144B03" w:rsidRDefault="000B3575" w:rsidP="005E24D9">
            <w:pPr>
              <w:spacing w:line="360" w:lineRule="auto"/>
              <w:ind w:left="33" w:hangingChars="18" w:hanging="33"/>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12</w:t>
            </w:r>
            <w:r w:rsidRPr="00144B03">
              <w:rPr>
                <w:rFonts w:ascii="楷体_GB2312" w:eastAsia="楷体_GB2312" w:hint="eastAsia"/>
                <w:b/>
                <w:color w:val="000000"/>
                <w:sz w:val="18"/>
                <w:szCs w:val="18"/>
              </w:rPr>
              <w:t>、</w:t>
            </w:r>
            <w:r>
              <w:rPr>
                <w:rFonts w:ascii="楷体_GB2312" w:eastAsia="楷体_GB2312" w:hint="eastAsia"/>
                <w:b/>
                <w:color w:val="000000"/>
                <w:sz w:val="18"/>
                <w:szCs w:val="18"/>
              </w:rPr>
              <w:t>中国：汇丰PMI</w:t>
            </w:r>
          </w:p>
        </w:tc>
        <w:tc>
          <w:tcPr>
            <w:tcW w:w="4536" w:type="dxa"/>
            <w:tcBorders>
              <w:bottom w:val="single" w:sz="4" w:space="0" w:color="FF0000"/>
            </w:tcBorders>
          </w:tcPr>
          <w:p w:rsidR="000B3575" w:rsidRPr="00144B03" w:rsidRDefault="000B3575" w:rsidP="005E24D9">
            <w:pPr>
              <w:spacing w:line="360" w:lineRule="auto"/>
              <w:ind w:left="4017" w:hangingChars="2223" w:hanging="4017"/>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13</w:t>
            </w:r>
            <w:r w:rsidRPr="00144B03">
              <w:rPr>
                <w:rFonts w:ascii="楷体_GB2312" w:eastAsia="楷体_GB2312" w:hint="eastAsia"/>
                <w:b/>
                <w:color w:val="000000"/>
                <w:sz w:val="18"/>
                <w:szCs w:val="18"/>
              </w:rPr>
              <w:t>、</w:t>
            </w:r>
            <w:r w:rsidR="002749F7">
              <w:rPr>
                <w:rFonts w:ascii="楷体_GB2312" w:eastAsia="楷体_GB2312" w:hint="eastAsia"/>
                <w:b/>
                <w:color w:val="000000"/>
                <w:sz w:val="18"/>
                <w:szCs w:val="18"/>
              </w:rPr>
              <w:t>中国：统计局PMI</w:t>
            </w:r>
          </w:p>
        </w:tc>
      </w:tr>
      <w:tr w:rsidR="000B3575" w:rsidRPr="00B22D95" w:rsidTr="00A422E1">
        <w:tc>
          <w:tcPr>
            <w:tcW w:w="4678" w:type="dxa"/>
            <w:tcBorders>
              <w:top w:val="single" w:sz="4" w:space="0" w:color="FF0000"/>
              <w:bottom w:val="single" w:sz="4" w:space="0" w:color="FF0000"/>
            </w:tcBorders>
          </w:tcPr>
          <w:p w:rsidR="000B3575" w:rsidRPr="00B22D95" w:rsidRDefault="000B3575" w:rsidP="00A422E1">
            <w:pPr>
              <w:spacing w:line="360" w:lineRule="auto"/>
              <w:ind w:leftChars="16" w:left="34"/>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30830" cy="1415415"/>
                  <wp:effectExtent l="19050" t="0" r="762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4" cstate="print"/>
                          <a:srcRect/>
                          <a:stretch>
                            <a:fillRect/>
                          </a:stretch>
                        </pic:blipFill>
                        <pic:spPr bwMode="auto">
                          <a:xfrm>
                            <a:off x="0" y="0"/>
                            <a:ext cx="2830830" cy="1415415"/>
                          </a:xfrm>
                          <a:prstGeom prst="rect">
                            <a:avLst/>
                          </a:prstGeom>
                          <a:noFill/>
                          <a:ln w="9525">
                            <a:noFill/>
                            <a:miter lim="800000"/>
                            <a:headEnd/>
                            <a:tailEnd/>
                          </a:ln>
                        </pic:spPr>
                      </pic:pic>
                    </a:graphicData>
                  </a:graphic>
                </wp:inline>
              </w:drawing>
            </w:r>
          </w:p>
        </w:tc>
        <w:tc>
          <w:tcPr>
            <w:tcW w:w="4678" w:type="dxa"/>
            <w:gridSpan w:val="2"/>
            <w:tcBorders>
              <w:top w:val="single" w:sz="4" w:space="0" w:color="FF0000"/>
              <w:bottom w:val="single" w:sz="4" w:space="0" w:color="FF0000"/>
            </w:tcBorders>
          </w:tcPr>
          <w:p w:rsidR="000B3575" w:rsidRPr="00B22D95" w:rsidRDefault="002749F7" w:rsidP="00A422E1">
            <w:pPr>
              <w:spacing w:line="360" w:lineRule="auto"/>
              <w:ind w:left="1" w:firstLineChars="18" w:firstLine="32"/>
              <w:jc w:val="right"/>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30830" cy="1391285"/>
                  <wp:effectExtent l="19050" t="0" r="762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5" cstate="print"/>
                          <a:srcRect/>
                          <a:stretch>
                            <a:fillRect/>
                          </a:stretch>
                        </pic:blipFill>
                        <pic:spPr bwMode="auto">
                          <a:xfrm>
                            <a:off x="0" y="0"/>
                            <a:ext cx="2830830" cy="1391285"/>
                          </a:xfrm>
                          <a:prstGeom prst="rect">
                            <a:avLst/>
                          </a:prstGeom>
                          <a:noFill/>
                          <a:ln w="9525">
                            <a:noFill/>
                            <a:miter lim="800000"/>
                            <a:headEnd/>
                            <a:tailEnd/>
                          </a:ln>
                        </pic:spPr>
                      </pic:pic>
                    </a:graphicData>
                  </a:graphic>
                </wp:inline>
              </w:drawing>
            </w:r>
          </w:p>
        </w:tc>
      </w:tr>
    </w:tbl>
    <w:p w:rsidR="000B3575" w:rsidRDefault="000B3575" w:rsidP="000B3575">
      <w:pPr>
        <w:rPr>
          <w:rFonts w:ascii="楷体_GB2312" w:eastAsia="楷体_GB2312"/>
          <w:noProof/>
          <w:color w:val="000000"/>
        </w:rPr>
      </w:pPr>
      <w:r>
        <w:rPr>
          <w:rFonts w:ascii="楷体_GB2312" w:eastAsia="楷体_GB2312" w:hint="eastAsia"/>
          <w:noProof/>
          <w:color w:val="000000"/>
        </w:rPr>
        <w:t>来源：</w:t>
      </w:r>
      <w:r w:rsidRPr="00156066">
        <w:rPr>
          <w:rFonts w:ascii="楷体_GB2312" w:eastAsia="楷体_GB2312" w:hint="eastAsia"/>
          <w:noProof/>
          <w:color w:val="000000"/>
        </w:rPr>
        <w:t>wind</w:t>
      </w:r>
      <w:r>
        <w:rPr>
          <w:rFonts w:ascii="楷体_GB2312" w:eastAsia="楷体_GB2312" w:hint="eastAsia"/>
          <w:noProof/>
          <w:color w:val="000000"/>
        </w:rPr>
        <w:t>，</w:t>
      </w:r>
      <w:r w:rsidRPr="00156066">
        <w:rPr>
          <w:rFonts w:ascii="楷体_GB2312" w:eastAsia="楷体_GB2312" w:hint="eastAsia"/>
          <w:noProof/>
          <w:color w:val="000000"/>
        </w:rPr>
        <w:t>上海证券基金评价研究中心</w:t>
      </w:r>
    </w:p>
    <w:p w:rsidR="00BF7FF4" w:rsidRPr="00C251C0" w:rsidRDefault="00BF7FF4" w:rsidP="00A422E1">
      <w:pPr>
        <w:spacing w:beforeLines="50"/>
        <w:ind w:leftChars="1350" w:left="2835" w:firstLineChars="202" w:firstLine="424"/>
        <w:rPr>
          <w:rFonts w:ascii="楷体_GB2312" w:eastAsia="楷体_GB2312" w:hAnsi="宋体" w:cs="宋体"/>
          <w:kern w:val="0"/>
          <w:szCs w:val="21"/>
        </w:rPr>
      </w:pPr>
      <w:r>
        <w:rPr>
          <w:rFonts w:ascii="楷体_GB2312" w:eastAsia="楷体_GB2312" w:hAnsi="宋体" w:cs="宋体" w:hint="eastAsia"/>
          <w:kern w:val="0"/>
          <w:szCs w:val="21"/>
        </w:rPr>
        <w:t>受全球经济的复苏刺激，中国出口表现强劲，</w:t>
      </w:r>
      <w:r w:rsidR="00BB3F25">
        <w:rPr>
          <w:rFonts w:ascii="楷体_GB2312" w:eastAsia="楷体_GB2312" w:hAnsi="宋体" w:cs="宋体" w:hint="eastAsia"/>
          <w:kern w:val="0"/>
          <w:szCs w:val="21"/>
        </w:rPr>
        <w:t>1月贸易顺差</w:t>
      </w:r>
      <w:r w:rsidR="00BB3F25" w:rsidRPr="00214740">
        <w:rPr>
          <w:rFonts w:ascii="楷体_GB2312" w:eastAsia="楷体_GB2312" w:hAnsi="宋体" w:cs="宋体" w:hint="eastAsia"/>
          <w:kern w:val="0"/>
          <w:szCs w:val="21"/>
        </w:rPr>
        <w:t>318.69亿美元</w:t>
      </w:r>
      <w:r w:rsidR="00214740" w:rsidRPr="00214740">
        <w:rPr>
          <w:rFonts w:ascii="楷体_GB2312" w:eastAsia="楷体_GB2312" w:hAnsi="宋体" w:cs="宋体" w:hint="eastAsia"/>
          <w:kern w:val="0"/>
          <w:szCs w:val="21"/>
        </w:rPr>
        <w:t>，这对中国经济形成利好</w:t>
      </w:r>
      <w:r>
        <w:rPr>
          <w:rFonts w:ascii="楷体_GB2312" w:eastAsia="楷体_GB2312" w:hAnsi="宋体" w:cs="宋体" w:hint="eastAsia"/>
          <w:kern w:val="0"/>
          <w:szCs w:val="21"/>
        </w:rPr>
        <w:t>。</w:t>
      </w:r>
      <w:r w:rsidR="00214740">
        <w:rPr>
          <w:rFonts w:ascii="楷体_GB2312" w:eastAsia="楷体_GB2312" w:hAnsi="宋体" w:cs="宋体" w:hint="eastAsia"/>
          <w:kern w:val="0"/>
          <w:szCs w:val="21"/>
        </w:rPr>
        <w:t>但另一方面，受国际资本流出和偏紧的货币政策影响，中国M2增速继续下行，流动性仍然偏紧。这一局面在</w:t>
      </w:r>
      <w:r w:rsidR="00214740">
        <w:rPr>
          <w:rFonts w:ascii="楷体_GB2312" w:eastAsia="楷体_GB2312" w:hAnsi="宋体" w:cs="宋体" w:hint="eastAsia"/>
          <w:kern w:val="0"/>
          <w:szCs w:val="21"/>
        </w:rPr>
        <w:lastRenderedPageBreak/>
        <w:t>3月有望延续。</w:t>
      </w:r>
    </w:p>
    <w:tbl>
      <w:tblPr>
        <w:tblW w:w="9356" w:type="dxa"/>
        <w:tblInd w:w="-34" w:type="dxa"/>
        <w:tblLayout w:type="fixed"/>
        <w:tblLook w:val="04A0"/>
      </w:tblPr>
      <w:tblGrid>
        <w:gridCol w:w="4678"/>
        <w:gridCol w:w="142"/>
        <w:gridCol w:w="4536"/>
      </w:tblGrid>
      <w:tr w:rsidR="002749F7" w:rsidRPr="00051DF8" w:rsidTr="00A422E1">
        <w:tc>
          <w:tcPr>
            <w:tcW w:w="4820" w:type="dxa"/>
            <w:gridSpan w:val="2"/>
            <w:tcBorders>
              <w:bottom w:val="single" w:sz="4" w:space="0" w:color="FF0000"/>
            </w:tcBorders>
          </w:tcPr>
          <w:p w:rsidR="002749F7" w:rsidRPr="00144B03" w:rsidRDefault="002749F7" w:rsidP="005E24D9">
            <w:pPr>
              <w:spacing w:line="360" w:lineRule="auto"/>
              <w:ind w:left="33" w:hangingChars="18" w:hanging="33"/>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14</w:t>
            </w:r>
            <w:r w:rsidRPr="00144B03">
              <w:rPr>
                <w:rFonts w:ascii="楷体_GB2312" w:eastAsia="楷体_GB2312" w:hint="eastAsia"/>
                <w:b/>
                <w:color w:val="000000"/>
                <w:sz w:val="18"/>
                <w:szCs w:val="18"/>
              </w:rPr>
              <w:t>、</w:t>
            </w:r>
            <w:r>
              <w:rPr>
                <w:rFonts w:ascii="楷体_GB2312" w:eastAsia="楷体_GB2312" w:hint="eastAsia"/>
                <w:b/>
                <w:color w:val="000000"/>
                <w:sz w:val="18"/>
                <w:szCs w:val="18"/>
              </w:rPr>
              <w:t>中国：</w:t>
            </w:r>
            <w:r w:rsidR="00461CEA">
              <w:rPr>
                <w:rFonts w:ascii="楷体_GB2312" w:eastAsia="楷体_GB2312" w:hint="eastAsia"/>
                <w:b/>
                <w:color w:val="000000"/>
                <w:sz w:val="18"/>
                <w:szCs w:val="18"/>
              </w:rPr>
              <w:t>贸易差额（亿美元）</w:t>
            </w:r>
          </w:p>
        </w:tc>
        <w:tc>
          <w:tcPr>
            <w:tcW w:w="4536" w:type="dxa"/>
            <w:tcBorders>
              <w:bottom w:val="single" w:sz="4" w:space="0" w:color="FF0000"/>
            </w:tcBorders>
          </w:tcPr>
          <w:p w:rsidR="002749F7" w:rsidRPr="00144B03" w:rsidRDefault="002749F7" w:rsidP="005E24D9">
            <w:pPr>
              <w:spacing w:line="360" w:lineRule="auto"/>
              <w:ind w:left="4017" w:hangingChars="2223" w:hanging="4017"/>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15</w:t>
            </w:r>
            <w:r w:rsidRPr="00144B03">
              <w:rPr>
                <w:rFonts w:ascii="楷体_GB2312" w:eastAsia="楷体_GB2312" w:hint="eastAsia"/>
                <w:b/>
                <w:color w:val="000000"/>
                <w:sz w:val="18"/>
                <w:szCs w:val="18"/>
              </w:rPr>
              <w:t>、</w:t>
            </w:r>
            <w:r>
              <w:rPr>
                <w:rFonts w:ascii="楷体_GB2312" w:eastAsia="楷体_GB2312" w:hint="eastAsia"/>
                <w:b/>
                <w:color w:val="000000"/>
                <w:sz w:val="18"/>
                <w:szCs w:val="18"/>
              </w:rPr>
              <w:t>中国：M2：同比（%）</w:t>
            </w:r>
          </w:p>
        </w:tc>
      </w:tr>
      <w:tr w:rsidR="002749F7" w:rsidRPr="00B22D95" w:rsidTr="00A422E1">
        <w:tc>
          <w:tcPr>
            <w:tcW w:w="4678" w:type="dxa"/>
            <w:tcBorders>
              <w:top w:val="single" w:sz="4" w:space="0" w:color="FF0000"/>
              <w:bottom w:val="single" w:sz="4" w:space="0" w:color="FF0000"/>
            </w:tcBorders>
          </w:tcPr>
          <w:p w:rsidR="002749F7" w:rsidRPr="00B22D95" w:rsidRDefault="002749F7" w:rsidP="00A422E1">
            <w:pPr>
              <w:spacing w:line="360" w:lineRule="auto"/>
              <w:ind w:leftChars="16" w:left="34"/>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30830" cy="1407160"/>
                  <wp:effectExtent l="19050" t="0" r="7620" b="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6" cstate="print"/>
                          <a:srcRect/>
                          <a:stretch>
                            <a:fillRect/>
                          </a:stretch>
                        </pic:blipFill>
                        <pic:spPr bwMode="auto">
                          <a:xfrm>
                            <a:off x="0" y="0"/>
                            <a:ext cx="2830830" cy="1407160"/>
                          </a:xfrm>
                          <a:prstGeom prst="rect">
                            <a:avLst/>
                          </a:prstGeom>
                          <a:noFill/>
                          <a:ln w="9525">
                            <a:noFill/>
                            <a:miter lim="800000"/>
                            <a:headEnd/>
                            <a:tailEnd/>
                          </a:ln>
                        </pic:spPr>
                      </pic:pic>
                    </a:graphicData>
                  </a:graphic>
                </wp:inline>
              </w:drawing>
            </w:r>
          </w:p>
        </w:tc>
        <w:tc>
          <w:tcPr>
            <w:tcW w:w="4678" w:type="dxa"/>
            <w:gridSpan w:val="2"/>
            <w:tcBorders>
              <w:top w:val="single" w:sz="4" w:space="0" w:color="FF0000"/>
              <w:bottom w:val="single" w:sz="4" w:space="0" w:color="FF0000"/>
            </w:tcBorders>
          </w:tcPr>
          <w:p w:rsidR="002749F7" w:rsidRPr="00B22D95" w:rsidRDefault="002749F7" w:rsidP="00A422E1">
            <w:pPr>
              <w:spacing w:line="360" w:lineRule="auto"/>
              <w:ind w:left="1" w:firstLineChars="18" w:firstLine="32"/>
              <w:jc w:val="right"/>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27848" cy="1478942"/>
                  <wp:effectExtent l="19050" t="0" r="0" b="0"/>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7" cstate="print"/>
                          <a:srcRect/>
                          <a:stretch>
                            <a:fillRect/>
                          </a:stretch>
                        </pic:blipFill>
                        <pic:spPr bwMode="auto">
                          <a:xfrm>
                            <a:off x="0" y="0"/>
                            <a:ext cx="2830830" cy="1480502"/>
                          </a:xfrm>
                          <a:prstGeom prst="rect">
                            <a:avLst/>
                          </a:prstGeom>
                          <a:noFill/>
                          <a:ln w="9525">
                            <a:noFill/>
                            <a:miter lim="800000"/>
                            <a:headEnd/>
                            <a:tailEnd/>
                          </a:ln>
                        </pic:spPr>
                      </pic:pic>
                    </a:graphicData>
                  </a:graphic>
                </wp:inline>
              </w:drawing>
            </w:r>
          </w:p>
        </w:tc>
      </w:tr>
    </w:tbl>
    <w:p w:rsidR="002749F7" w:rsidRDefault="002749F7" w:rsidP="002749F7">
      <w:pPr>
        <w:rPr>
          <w:rFonts w:ascii="楷体_GB2312" w:eastAsia="楷体_GB2312"/>
          <w:noProof/>
          <w:color w:val="000000"/>
        </w:rPr>
      </w:pPr>
      <w:r>
        <w:rPr>
          <w:rFonts w:ascii="楷体_GB2312" w:eastAsia="楷体_GB2312" w:hint="eastAsia"/>
          <w:noProof/>
          <w:color w:val="000000"/>
        </w:rPr>
        <w:t>来源：</w:t>
      </w:r>
      <w:r w:rsidRPr="00156066">
        <w:rPr>
          <w:rFonts w:ascii="楷体_GB2312" w:eastAsia="楷体_GB2312" w:hint="eastAsia"/>
          <w:noProof/>
          <w:color w:val="000000"/>
        </w:rPr>
        <w:t>wind</w:t>
      </w:r>
      <w:r>
        <w:rPr>
          <w:rFonts w:ascii="楷体_GB2312" w:eastAsia="楷体_GB2312" w:hint="eastAsia"/>
          <w:noProof/>
          <w:color w:val="000000"/>
        </w:rPr>
        <w:t>，</w:t>
      </w:r>
      <w:r w:rsidRPr="00156066">
        <w:rPr>
          <w:rFonts w:ascii="楷体_GB2312" w:eastAsia="楷体_GB2312" w:hint="eastAsia"/>
          <w:noProof/>
          <w:color w:val="000000"/>
        </w:rPr>
        <w:t>上海证券基金评价研究中心</w:t>
      </w:r>
    </w:p>
    <w:p w:rsidR="006F6944" w:rsidRPr="00C251C0" w:rsidRDefault="003F1766" w:rsidP="00A422E1">
      <w:pPr>
        <w:spacing w:beforeLines="50"/>
        <w:ind w:leftChars="1350" w:left="2835" w:firstLineChars="202" w:firstLine="424"/>
        <w:rPr>
          <w:rFonts w:ascii="楷体_GB2312" w:eastAsia="楷体_GB2312" w:hAnsi="宋体" w:cs="宋体"/>
          <w:kern w:val="0"/>
          <w:szCs w:val="21"/>
        </w:rPr>
      </w:pPr>
      <w:r>
        <w:rPr>
          <w:rFonts w:ascii="楷体_GB2312" w:eastAsia="楷体_GB2312" w:hAnsi="宋体" w:cs="宋体" w:hint="eastAsia"/>
          <w:kern w:val="0"/>
          <w:szCs w:val="21"/>
        </w:rPr>
        <w:t>上月</w:t>
      </w:r>
      <w:r w:rsidR="002043E4">
        <w:rPr>
          <w:rFonts w:ascii="楷体_GB2312" w:eastAsia="楷体_GB2312" w:hAnsi="宋体" w:cs="宋体" w:hint="eastAsia"/>
          <w:kern w:val="0"/>
          <w:szCs w:val="21"/>
        </w:rPr>
        <w:t>中国市场还面临更多的挑战。</w:t>
      </w:r>
      <w:r>
        <w:rPr>
          <w:rFonts w:ascii="楷体_GB2312" w:eastAsia="楷体_GB2312" w:hAnsi="宋体" w:cs="宋体" w:hint="eastAsia"/>
          <w:kern w:val="0"/>
          <w:szCs w:val="21"/>
        </w:rPr>
        <w:t>1、</w:t>
      </w:r>
      <w:r w:rsidR="002A6E97">
        <w:rPr>
          <w:rFonts w:ascii="楷体_GB2312" w:eastAsia="楷体_GB2312" w:hAnsi="宋体" w:cs="宋体" w:hint="eastAsia"/>
          <w:kern w:val="0"/>
          <w:szCs w:val="21"/>
        </w:rPr>
        <w:t>2月份</w:t>
      </w:r>
      <w:r w:rsidR="002043E4">
        <w:rPr>
          <w:rFonts w:ascii="楷体_GB2312" w:eastAsia="楷体_GB2312" w:hAnsi="宋体" w:cs="宋体" w:hint="eastAsia"/>
          <w:kern w:val="0"/>
          <w:szCs w:val="21"/>
        </w:rPr>
        <w:t>人民币</w:t>
      </w:r>
      <w:r w:rsidR="002A6E97">
        <w:rPr>
          <w:rFonts w:ascii="楷体_GB2312" w:eastAsia="楷体_GB2312" w:hAnsi="宋体" w:cs="宋体" w:hint="eastAsia"/>
          <w:kern w:val="0"/>
          <w:szCs w:val="21"/>
        </w:rPr>
        <w:t>相对美元</w:t>
      </w:r>
      <w:r w:rsidR="00963C5E">
        <w:rPr>
          <w:rFonts w:ascii="楷体_GB2312" w:eastAsia="楷体_GB2312" w:hAnsi="宋体" w:cs="宋体" w:hint="eastAsia"/>
          <w:kern w:val="0"/>
          <w:szCs w:val="21"/>
        </w:rPr>
        <w:t>超预期贬值</w:t>
      </w:r>
      <w:r w:rsidR="003C0482">
        <w:rPr>
          <w:rFonts w:ascii="楷体_GB2312" w:eastAsia="楷体_GB2312" w:hAnsi="宋体" w:cs="宋体" w:hint="eastAsia"/>
          <w:kern w:val="0"/>
          <w:szCs w:val="21"/>
        </w:rPr>
        <w:t>；</w:t>
      </w:r>
      <w:r>
        <w:rPr>
          <w:rFonts w:ascii="楷体_GB2312" w:eastAsia="楷体_GB2312" w:hAnsi="宋体" w:cs="宋体" w:hint="eastAsia"/>
          <w:kern w:val="0"/>
          <w:szCs w:val="21"/>
        </w:rPr>
        <w:t>2、</w:t>
      </w:r>
      <w:r w:rsidR="00963C5E">
        <w:rPr>
          <w:rFonts w:ascii="楷体_GB2312" w:eastAsia="楷体_GB2312" w:hAnsi="宋体" w:cs="宋体" w:hint="eastAsia"/>
          <w:kern w:val="0"/>
          <w:szCs w:val="21"/>
        </w:rPr>
        <w:t>2月</w:t>
      </w:r>
      <w:r w:rsidR="003C0482">
        <w:rPr>
          <w:rFonts w:ascii="楷体_GB2312" w:eastAsia="楷体_GB2312" w:hAnsi="宋体" w:cs="宋体" w:hint="eastAsia"/>
          <w:kern w:val="0"/>
          <w:szCs w:val="21"/>
        </w:rPr>
        <w:t>下旬</w:t>
      </w:r>
      <w:r w:rsidR="00963C5E" w:rsidRPr="003A2393">
        <w:rPr>
          <w:rFonts w:ascii="楷体_GB2312" w:eastAsia="楷体_GB2312" w:hAnsi="宋体" w:cs="宋体" w:hint="eastAsia"/>
          <w:kern w:val="0"/>
          <w:szCs w:val="21"/>
        </w:rPr>
        <w:t>房地产贷款收缩“的信息迅速</w:t>
      </w:r>
      <w:r w:rsidR="003C0482">
        <w:rPr>
          <w:rFonts w:ascii="楷体_GB2312" w:eastAsia="楷体_GB2312" w:hAnsi="宋体" w:cs="宋体" w:hint="eastAsia"/>
          <w:kern w:val="0"/>
          <w:szCs w:val="21"/>
        </w:rPr>
        <w:t>蔓延，</w:t>
      </w:r>
      <w:r w:rsidR="00963C5E" w:rsidRPr="003A2393">
        <w:rPr>
          <w:rFonts w:ascii="楷体_GB2312" w:eastAsia="楷体_GB2312" w:hAnsi="宋体" w:cs="宋体" w:hint="eastAsia"/>
          <w:kern w:val="0"/>
          <w:szCs w:val="21"/>
        </w:rPr>
        <w:t>冲击市场信心</w:t>
      </w:r>
      <w:r w:rsidR="003C0482">
        <w:rPr>
          <w:rFonts w:ascii="楷体_GB2312" w:eastAsia="楷体_GB2312" w:hAnsi="宋体" w:cs="宋体" w:hint="eastAsia"/>
          <w:kern w:val="0"/>
          <w:szCs w:val="21"/>
        </w:rPr>
        <w:t>。</w:t>
      </w:r>
      <w:r w:rsidR="00963C5E">
        <w:rPr>
          <w:rFonts w:ascii="楷体_GB2312" w:eastAsia="楷体_GB2312" w:hAnsi="宋体" w:cs="宋体" w:hint="eastAsia"/>
          <w:kern w:val="0"/>
          <w:szCs w:val="21"/>
        </w:rPr>
        <w:t>但市场或对上述信息超预期反映</w:t>
      </w:r>
      <w:r w:rsidR="003C0482">
        <w:rPr>
          <w:rFonts w:ascii="楷体_GB2312" w:eastAsia="楷体_GB2312" w:hAnsi="宋体" w:cs="宋体" w:hint="eastAsia"/>
          <w:kern w:val="0"/>
          <w:szCs w:val="21"/>
        </w:rPr>
        <w:t>；</w:t>
      </w:r>
      <w:r w:rsidR="00963C5E">
        <w:rPr>
          <w:rFonts w:ascii="楷体_GB2312" w:eastAsia="楷体_GB2312" w:hAnsi="宋体" w:cs="宋体" w:hint="eastAsia"/>
          <w:kern w:val="0"/>
          <w:szCs w:val="21"/>
        </w:rPr>
        <w:t>3月</w:t>
      </w:r>
      <w:r w:rsidR="003C0482">
        <w:rPr>
          <w:rFonts w:ascii="楷体_GB2312" w:eastAsia="楷体_GB2312" w:hAnsi="宋体" w:cs="宋体" w:hint="eastAsia"/>
          <w:kern w:val="0"/>
          <w:szCs w:val="21"/>
        </w:rPr>
        <w:t>份</w:t>
      </w:r>
      <w:r w:rsidR="00963C5E">
        <w:rPr>
          <w:rFonts w:ascii="楷体_GB2312" w:eastAsia="楷体_GB2312" w:hAnsi="宋体" w:cs="宋体" w:hint="eastAsia"/>
          <w:kern w:val="0"/>
          <w:szCs w:val="21"/>
        </w:rPr>
        <w:t>迎来</w:t>
      </w:r>
      <w:r w:rsidR="002A6E97">
        <w:rPr>
          <w:rFonts w:ascii="楷体_GB2312" w:eastAsia="楷体_GB2312" w:hAnsi="宋体" w:cs="宋体" w:hint="eastAsia"/>
          <w:kern w:val="0"/>
          <w:szCs w:val="21"/>
        </w:rPr>
        <w:t>“两会”的召开，期间政策预期将成为主导市场的因素。</w:t>
      </w:r>
    </w:p>
    <w:p w:rsidR="00AE0E62" w:rsidRPr="00816D44" w:rsidRDefault="00141178" w:rsidP="00141178">
      <w:pPr>
        <w:pageBreakBefore/>
        <w:ind w:firstLineChars="1000" w:firstLine="2811"/>
        <w:rPr>
          <w:rFonts w:ascii="黑体" w:eastAsia="黑体" w:hAnsi="宋体-18030" w:cs="宋体-18030"/>
          <w:b/>
          <w:bCs/>
          <w:color w:val="000000"/>
          <w:kern w:val="44"/>
          <w:sz w:val="28"/>
          <w:szCs w:val="28"/>
        </w:rPr>
      </w:pPr>
      <w:r>
        <w:rPr>
          <w:rFonts w:ascii="黑体" w:eastAsia="黑体" w:hAnsi="宋体-18030" w:cs="宋体-18030" w:hint="eastAsia"/>
          <w:b/>
          <w:bCs/>
          <w:color w:val="000000"/>
          <w:kern w:val="44"/>
          <w:sz w:val="28"/>
          <w:szCs w:val="28"/>
        </w:rPr>
        <w:lastRenderedPageBreak/>
        <w:t>三、</w:t>
      </w:r>
      <w:r w:rsidR="00AE0E62">
        <w:rPr>
          <w:rFonts w:ascii="黑体" w:eastAsia="黑体" w:hAnsi="宋体-18030" w:cs="宋体-18030" w:hint="eastAsia"/>
          <w:b/>
          <w:bCs/>
          <w:color w:val="000000"/>
          <w:kern w:val="44"/>
          <w:sz w:val="28"/>
          <w:szCs w:val="28"/>
        </w:rPr>
        <w:t>各期组合及业绩回顾</w:t>
      </w:r>
    </w:p>
    <w:p w:rsidR="009E78C8" w:rsidRDefault="008E0A57" w:rsidP="0046610D">
      <w:pPr>
        <w:ind w:leftChars="1350" w:left="2835" w:firstLine="420"/>
        <w:rPr>
          <w:rFonts w:ascii="楷体_GB2312" w:eastAsia="楷体_GB2312"/>
          <w:noProof/>
        </w:rPr>
      </w:pPr>
      <w:r w:rsidRPr="00AB08B9">
        <w:rPr>
          <w:rFonts w:ascii="楷体_GB2312" w:eastAsia="楷体_GB2312" w:hint="eastAsia"/>
          <w:noProof/>
        </w:rPr>
        <w:t>自2011年2月以来，同期</w:t>
      </w:r>
      <w:r w:rsidR="00CF5001">
        <w:rPr>
          <w:rFonts w:ascii="楷体_GB2312" w:eastAsia="楷体_GB2312" w:hint="eastAsia"/>
          <w:noProof/>
        </w:rPr>
        <w:t>基础市场表现低迷，</w:t>
      </w:r>
      <w:r w:rsidRPr="00AB08B9">
        <w:rPr>
          <w:rFonts w:ascii="楷体_GB2312" w:eastAsia="楷体_GB2312" w:hint="eastAsia"/>
          <w:noProof/>
        </w:rPr>
        <w:t>上证指数</w:t>
      </w:r>
      <w:r w:rsidR="00E21593">
        <w:rPr>
          <w:rFonts w:ascii="楷体_GB2312" w:eastAsia="楷体_GB2312" w:hint="eastAsia"/>
          <w:noProof/>
        </w:rPr>
        <w:t>下跌</w:t>
      </w:r>
      <w:r w:rsidR="00985E0E" w:rsidRPr="00985E0E">
        <w:rPr>
          <w:rFonts w:ascii="楷体_GB2312" w:eastAsia="楷体_GB2312"/>
          <w:noProof/>
        </w:rPr>
        <w:t>26.32</w:t>
      </w:r>
      <w:r w:rsidRPr="00AB08B9">
        <w:rPr>
          <w:rFonts w:ascii="楷体_GB2312" w:eastAsia="楷体_GB2312" w:hint="eastAsia"/>
          <w:noProof/>
        </w:rPr>
        <w:t>%，深圳综指</w:t>
      </w:r>
      <w:r w:rsidR="00E21593">
        <w:rPr>
          <w:rFonts w:ascii="楷体_GB2312" w:eastAsia="楷体_GB2312" w:hint="eastAsia"/>
          <w:noProof/>
        </w:rPr>
        <w:t>下跌</w:t>
      </w:r>
      <w:r w:rsidR="00985E0E" w:rsidRPr="00985E0E">
        <w:rPr>
          <w:rFonts w:ascii="楷体_GB2312" w:eastAsia="楷体_GB2312"/>
          <w:noProof/>
        </w:rPr>
        <w:t>8.92</w:t>
      </w:r>
      <w:r w:rsidRPr="00AB08B9">
        <w:rPr>
          <w:rFonts w:ascii="楷体_GB2312" w:eastAsia="楷体_GB2312" w:hint="eastAsia"/>
          <w:noProof/>
        </w:rPr>
        <w:t>%。</w:t>
      </w:r>
      <w:r w:rsidR="00CF5001">
        <w:rPr>
          <w:rFonts w:ascii="楷体_GB2312" w:eastAsia="楷体_GB2312" w:hint="eastAsia"/>
          <w:noProof/>
        </w:rPr>
        <w:t>上海证券三个风险等级组合</w:t>
      </w:r>
      <w:r w:rsidR="00974B66">
        <w:rPr>
          <w:rFonts w:ascii="楷体_GB2312" w:eastAsia="楷体_GB2312" w:hint="eastAsia"/>
          <w:noProof/>
        </w:rPr>
        <w:t>实现正收益</w:t>
      </w:r>
      <w:r w:rsidRPr="00AB08B9">
        <w:rPr>
          <w:rFonts w:ascii="楷体_GB2312" w:eastAsia="楷体_GB2312" w:hint="eastAsia"/>
          <w:noProof/>
        </w:rPr>
        <w:t>，</w:t>
      </w:r>
      <w:r w:rsidR="00B67ADD">
        <w:rPr>
          <w:rFonts w:ascii="楷体_GB2312" w:eastAsia="楷体_GB2312" w:hint="eastAsia"/>
          <w:noProof/>
        </w:rPr>
        <w:t>积极型、平衡型、稳健型</w:t>
      </w:r>
      <w:r w:rsidRPr="00AB08B9">
        <w:rPr>
          <w:rFonts w:ascii="楷体_GB2312" w:eastAsia="楷体_GB2312" w:hint="eastAsia"/>
          <w:noProof/>
        </w:rPr>
        <w:t>累计</w:t>
      </w:r>
      <w:r w:rsidR="00B67ADD">
        <w:rPr>
          <w:rFonts w:ascii="楷体_GB2312" w:eastAsia="楷体_GB2312" w:hint="eastAsia"/>
          <w:noProof/>
        </w:rPr>
        <w:t>分别上涨</w:t>
      </w:r>
      <w:r w:rsidR="0046610D" w:rsidRPr="0046610D">
        <w:rPr>
          <w:rFonts w:ascii="楷体_GB2312" w:eastAsia="楷体_GB2312"/>
          <w:noProof/>
        </w:rPr>
        <w:t>18.68%</w:t>
      </w:r>
      <w:r w:rsidR="0046610D">
        <w:rPr>
          <w:rFonts w:ascii="楷体_GB2312" w:eastAsia="楷体_GB2312" w:hint="eastAsia"/>
          <w:noProof/>
        </w:rPr>
        <w:t>、</w:t>
      </w:r>
      <w:r w:rsidR="0046610D" w:rsidRPr="0046610D">
        <w:rPr>
          <w:rFonts w:ascii="楷体_GB2312" w:eastAsia="楷体_GB2312"/>
          <w:noProof/>
        </w:rPr>
        <w:t>14.15%</w:t>
      </w:r>
      <w:r w:rsidR="0046610D">
        <w:rPr>
          <w:rFonts w:ascii="楷体_GB2312" w:eastAsia="楷体_GB2312" w:hint="eastAsia"/>
          <w:noProof/>
        </w:rPr>
        <w:t>、</w:t>
      </w:r>
      <w:r w:rsidR="0046610D" w:rsidRPr="0046610D">
        <w:rPr>
          <w:rFonts w:ascii="楷体_GB2312" w:eastAsia="楷体_GB2312"/>
          <w:noProof/>
        </w:rPr>
        <w:t>12.34%</w:t>
      </w:r>
      <w:r w:rsidRPr="00AB08B9">
        <w:rPr>
          <w:rFonts w:ascii="楷体_GB2312" w:eastAsia="楷体_GB2312" w:hint="eastAsia"/>
          <w:noProof/>
        </w:rPr>
        <w:t>，</w:t>
      </w:r>
      <w:r w:rsidR="00B67ADD">
        <w:rPr>
          <w:rFonts w:ascii="楷体_GB2312" w:eastAsia="楷体_GB2312" w:hint="eastAsia"/>
          <w:noProof/>
        </w:rPr>
        <w:t>分别</w:t>
      </w:r>
      <w:r w:rsidRPr="00AB08B9">
        <w:rPr>
          <w:rFonts w:ascii="楷体_GB2312" w:eastAsia="楷体_GB2312" w:hint="eastAsia"/>
          <w:noProof/>
        </w:rPr>
        <w:t>超越</w:t>
      </w:r>
      <w:r w:rsidR="00B67ADD">
        <w:rPr>
          <w:rFonts w:ascii="楷体_GB2312" w:eastAsia="楷体_GB2312" w:hint="eastAsia"/>
          <w:noProof/>
        </w:rPr>
        <w:t>相应</w:t>
      </w:r>
      <w:r w:rsidRPr="00AB08B9">
        <w:rPr>
          <w:rFonts w:ascii="楷体_GB2312" w:eastAsia="楷体_GB2312" w:hint="eastAsia"/>
          <w:noProof/>
        </w:rPr>
        <w:t>基准</w:t>
      </w:r>
      <w:r w:rsidR="0046610D">
        <w:rPr>
          <w:rFonts w:ascii="楷体_GB2312" w:eastAsia="楷体_GB2312"/>
          <w:noProof/>
        </w:rPr>
        <w:t>21.65</w:t>
      </w:r>
      <w:r w:rsidR="0046610D">
        <w:rPr>
          <w:rFonts w:ascii="楷体_GB2312" w:eastAsia="楷体_GB2312" w:hint="eastAsia"/>
          <w:noProof/>
        </w:rPr>
        <w:t>、</w:t>
      </w:r>
      <w:r w:rsidR="0046610D">
        <w:rPr>
          <w:rFonts w:ascii="楷体_GB2312" w:eastAsia="楷体_GB2312"/>
          <w:noProof/>
        </w:rPr>
        <w:t>10.21</w:t>
      </w:r>
      <w:r w:rsidR="0046610D">
        <w:rPr>
          <w:rFonts w:ascii="楷体_GB2312" w:eastAsia="楷体_GB2312" w:hint="eastAsia"/>
          <w:noProof/>
        </w:rPr>
        <w:t>、</w:t>
      </w:r>
      <w:r w:rsidR="0046610D" w:rsidRPr="0046610D">
        <w:rPr>
          <w:rFonts w:ascii="楷体_GB2312" w:eastAsia="楷体_GB2312"/>
          <w:noProof/>
        </w:rPr>
        <w:t>2.12</w:t>
      </w:r>
      <w:r w:rsidR="0046610D">
        <w:rPr>
          <w:rFonts w:ascii="楷体_GB2312" w:eastAsia="楷体_GB2312" w:hint="eastAsia"/>
          <w:noProof/>
        </w:rPr>
        <w:t>个</w:t>
      </w:r>
      <w:r w:rsidR="00B67ADD">
        <w:rPr>
          <w:rFonts w:ascii="楷体_GB2312" w:eastAsia="楷体_GB2312" w:hint="eastAsia"/>
          <w:noProof/>
        </w:rPr>
        <w:t>百分点。</w:t>
      </w:r>
    </w:p>
    <w:p w:rsidR="00FA36C2" w:rsidRPr="004C1094" w:rsidRDefault="00FA36C2" w:rsidP="0046610D">
      <w:pPr>
        <w:ind w:leftChars="1350" w:left="2835" w:firstLine="420"/>
        <w:rPr>
          <w:rFonts w:ascii="楷体_GB2312" w:eastAsia="楷体_GB2312"/>
          <w:noProof/>
        </w:rPr>
      </w:pPr>
      <w:r w:rsidRPr="00AB08B9">
        <w:rPr>
          <w:rFonts w:ascii="楷体_GB2312" w:eastAsia="楷体_GB2312" w:hint="eastAsia"/>
          <w:noProof/>
        </w:rPr>
        <w:t>201</w:t>
      </w:r>
      <w:r w:rsidR="00916D6D">
        <w:rPr>
          <w:rFonts w:ascii="楷体_GB2312" w:eastAsia="楷体_GB2312" w:hint="eastAsia"/>
          <w:noProof/>
        </w:rPr>
        <w:t>4</w:t>
      </w:r>
      <w:r w:rsidRPr="00AB08B9">
        <w:rPr>
          <w:rFonts w:ascii="楷体_GB2312" w:eastAsia="楷体_GB2312" w:hint="eastAsia"/>
          <w:noProof/>
        </w:rPr>
        <w:t>年</w:t>
      </w:r>
      <w:r w:rsidR="0046610D">
        <w:rPr>
          <w:rFonts w:ascii="楷体_GB2312" w:eastAsia="楷体_GB2312" w:hint="eastAsia"/>
          <w:noProof/>
        </w:rPr>
        <w:t>2</w:t>
      </w:r>
      <w:r w:rsidRPr="00AB08B9">
        <w:rPr>
          <w:rFonts w:ascii="楷体_GB2312" w:eastAsia="楷体_GB2312" w:hint="eastAsia"/>
          <w:noProof/>
        </w:rPr>
        <w:t>月，上海证券积极型、平衡型、稳健型组合</w:t>
      </w:r>
      <w:r w:rsidR="00956F75">
        <w:rPr>
          <w:rFonts w:ascii="楷体_GB2312" w:eastAsia="楷体_GB2312" w:hint="eastAsia"/>
          <w:noProof/>
        </w:rPr>
        <w:t>分别实现收益</w:t>
      </w:r>
      <w:r w:rsidR="0046610D" w:rsidRPr="0046610D">
        <w:rPr>
          <w:rFonts w:ascii="楷体_GB2312" w:eastAsia="楷体_GB2312"/>
          <w:noProof/>
        </w:rPr>
        <w:t>-1.72%</w:t>
      </w:r>
      <w:r w:rsidR="0046610D">
        <w:rPr>
          <w:rFonts w:ascii="楷体_GB2312" w:eastAsia="楷体_GB2312" w:hint="eastAsia"/>
          <w:noProof/>
        </w:rPr>
        <w:t>、</w:t>
      </w:r>
      <w:r w:rsidR="0046610D" w:rsidRPr="0046610D">
        <w:rPr>
          <w:rFonts w:ascii="楷体_GB2312" w:eastAsia="楷体_GB2312"/>
          <w:noProof/>
        </w:rPr>
        <w:t>-0.17%</w:t>
      </w:r>
      <w:r w:rsidR="0046610D">
        <w:rPr>
          <w:rFonts w:ascii="楷体_GB2312" w:eastAsia="楷体_GB2312" w:hint="eastAsia"/>
          <w:noProof/>
        </w:rPr>
        <w:t>、</w:t>
      </w:r>
      <w:r w:rsidR="0046610D" w:rsidRPr="0046610D">
        <w:rPr>
          <w:rFonts w:ascii="楷体_GB2312" w:eastAsia="楷体_GB2312"/>
          <w:noProof/>
        </w:rPr>
        <w:t>0.45%</w:t>
      </w:r>
      <w:r w:rsidRPr="00AB08B9">
        <w:rPr>
          <w:rFonts w:ascii="楷体_GB2312" w:eastAsia="楷体_GB2312" w:hint="eastAsia"/>
          <w:noProof/>
        </w:rPr>
        <w:t>，</w:t>
      </w:r>
      <w:r w:rsidR="00641429">
        <w:rPr>
          <w:rFonts w:ascii="楷体_GB2312" w:eastAsia="楷体_GB2312" w:hint="eastAsia"/>
          <w:noProof/>
        </w:rPr>
        <w:t>其中</w:t>
      </w:r>
      <w:r w:rsidR="0046610D">
        <w:rPr>
          <w:rFonts w:ascii="楷体_GB2312" w:eastAsia="楷体_GB2312" w:hint="eastAsia"/>
          <w:noProof/>
        </w:rPr>
        <w:t>稳健</w:t>
      </w:r>
      <w:r w:rsidR="00956F75">
        <w:rPr>
          <w:rFonts w:ascii="楷体_GB2312" w:eastAsia="楷体_GB2312" w:hint="eastAsia"/>
          <w:noProof/>
        </w:rPr>
        <w:t>型</w:t>
      </w:r>
      <w:r w:rsidR="00641429">
        <w:rPr>
          <w:rFonts w:ascii="楷体_GB2312" w:eastAsia="楷体_GB2312" w:hint="eastAsia"/>
          <w:noProof/>
        </w:rPr>
        <w:t>组合</w:t>
      </w:r>
      <w:r w:rsidR="00956F75">
        <w:rPr>
          <w:rFonts w:ascii="楷体_GB2312" w:eastAsia="楷体_GB2312" w:hint="eastAsia"/>
          <w:noProof/>
        </w:rPr>
        <w:t>业绩超越基准表现</w:t>
      </w:r>
      <w:r w:rsidRPr="00AB08B9">
        <w:rPr>
          <w:rFonts w:ascii="楷体_GB2312" w:eastAsia="楷体_GB2312" w:hint="eastAsia"/>
          <w:noProof/>
        </w:rPr>
        <w:t>。</w:t>
      </w:r>
    </w:p>
    <w:p w:rsidR="008E0A57" w:rsidRPr="00144B03" w:rsidRDefault="008E0A57" w:rsidP="00144B03">
      <w:pPr>
        <w:spacing w:line="360" w:lineRule="auto"/>
        <w:jc w:val="center"/>
        <w:rPr>
          <w:rFonts w:ascii="楷体_GB2312" w:eastAsia="楷体_GB2312"/>
          <w:b/>
          <w:color w:val="000000"/>
          <w:sz w:val="18"/>
          <w:szCs w:val="18"/>
        </w:rPr>
      </w:pPr>
      <w:r w:rsidRPr="00144B03">
        <w:rPr>
          <w:rFonts w:ascii="楷体_GB2312" w:eastAsia="楷体_GB2312" w:hint="eastAsia"/>
          <w:b/>
          <w:color w:val="000000"/>
          <w:sz w:val="18"/>
          <w:szCs w:val="18"/>
        </w:rPr>
        <w:t>表3 组合业绩回顾</w:t>
      </w:r>
    </w:p>
    <w:tbl>
      <w:tblPr>
        <w:tblW w:w="5000" w:type="pct"/>
        <w:tblLook w:val="04A0"/>
      </w:tblPr>
      <w:tblGrid>
        <w:gridCol w:w="1366"/>
        <w:gridCol w:w="1366"/>
        <w:gridCol w:w="1367"/>
        <w:gridCol w:w="1369"/>
        <w:gridCol w:w="1367"/>
        <w:gridCol w:w="1367"/>
        <w:gridCol w:w="1369"/>
      </w:tblGrid>
      <w:tr w:rsidR="008E0A57" w:rsidRPr="00BD1E88" w:rsidTr="008E0A57">
        <w:trPr>
          <w:trHeight w:val="285"/>
        </w:trPr>
        <w:tc>
          <w:tcPr>
            <w:tcW w:w="714" w:type="pct"/>
            <w:vMerge w:val="restart"/>
            <w:tcBorders>
              <w:top w:val="single" w:sz="8" w:space="0" w:color="auto"/>
              <w:left w:val="single" w:sz="8" w:space="0" w:color="auto"/>
              <w:bottom w:val="single" w:sz="8" w:space="0" w:color="000000"/>
              <w:right w:val="single" w:sz="8" w:space="0" w:color="auto"/>
            </w:tcBorders>
            <w:shd w:val="clear" w:color="000000" w:fill="666699"/>
            <w:noWrap/>
            <w:vAlign w:val="bottom"/>
            <w:hideMark/>
          </w:tcPr>
          <w:p w:rsidR="008E0A57" w:rsidRPr="00BD1E88" w:rsidRDefault="008E0A57" w:rsidP="00265082">
            <w:pPr>
              <w:widowControl/>
              <w:jc w:val="center"/>
              <w:rPr>
                <w:rFonts w:ascii="楷体_GB2312" w:eastAsia="楷体_GB2312" w:hAnsi="宋体" w:cs="宋体"/>
                <w:b/>
                <w:bCs/>
                <w:color w:val="FFFFFF"/>
                <w:kern w:val="0"/>
                <w:szCs w:val="21"/>
              </w:rPr>
            </w:pPr>
            <w:r w:rsidRPr="00BD1E88">
              <w:rPr>
                <w:rFonts w:ascii="楷体_GB2312" w:eastAsia="楷体_GB2312" w:hAnsi="宋体" w:cs="宋体" w:hint="eastAsia"/>
                <w:b/>
                <w:bCs/>
                <w:color w:val="FFFFFF"/>
                <w:kern w:val="0"/>
                <w:szCs w:val="21"/>
              </w:rPr>
              <w:t>组合类型</w:t>
            </w:r>
          </w:p>
        </w:tc>
        <w:tc>
          <w:tcPr>
            <w:tcW w:w="2143" w:type="pct"/>
            <w:gridSpan w:val="3"/>
            <w:tcBorders>
              <w:top w:val="nil"/>
              <w:left w:val="nil"/>
              <w:bottom w:val="nil"/>
              <w:right w:val="single" w:sz="8" w:space="0" w:color="000000"/>
            </w:tcBorders>
            <w:shd w:val="clear" w:color="000000" w:fill="666699"/>
            <w:noWrap/>
            <w:vAlign w:val="bottom"/>
            <w:hideMark/>
          </w:tcPr>
          <w:p w:rsidR="008E0A57" w:rsidRPr="00BD1E88" w:rsidRDefault="008E0A57" w:rsidP="00677B64">
            <w:pPr>
              <w:widowControl/>
              <w:jc w:val="center"/>
              <w:rPr>
                <w:rFonts w:ascii="楷体_GB2312" w:eastAsia="楷体_GB2312" w:hAnsi="宋体" w:cs="宋体"/>
                <w:b/>
                <w:bCs/>
                <w:color w:val="FFFFFF"/>
                <w:kern w:val="0"/>
                <w:szCs w:val="21"/>
              </w:rPr>
            </w:pPr>
            <w:r w:rsidRPr="00BD1E88">
              <w:rPr>
                <w:rFonts w:ascii="楷体_GB2312" w:eastAsia="楷体_GB2312" w:hAnsi="宋体" w:cs="宋体" w:hint="eastAsia"/>
                <w:b/>
                <w:bCs/>
                <w:color w:val="FFFFFF"/>
                <w:kern w:val="0"/>
                <w:szCs w:val="21"/>
              </w:rPr>
              <w:t>201</w:t>
            </w:r>
            <w:r w:rsidR="00146588">
              <w:rPr>
                <w:rFonts w:ascii="楷体_GB2312" w:eastAsia="楷体_GB2312" w:hAnsi="宋体" w:cs="宋体" w:hint="eastAsia"/>
                <w:b/>
                <w:bCs/>
                <w:color w:val="FFFFFF"/>
                <w:kern w:val="0"/>
                <w:szCs w:val="21"/>
              </w:rPr>
              <w:t>4</w:t>
            </w:r>
            <w:r w:rsidRPr="00BD1E88">
              <w:rPr>
                <w:rFonts w:ascii="楷体_GB2312" w:eastAsia="楷体_GB2312" w:hAnsi="宋体" w:cs="宋体" w:hint="eastAsia"/>
                <w:b/>
                <w:bCs/>
                <w:color w:val="FFFFFF"/>
                <w:kern w:val="0"/>
                <w:szCs w:val="21"/>
              </w:rPr>
              <w:t>年</w:t>
            </w:r>
            <w:r w:rsidR="00677B64">
              <w:rPr>
                <w:rFonts w:ascii="楷体_GB2312" w:eastAsia="楷体_GB2312" w:hAnsi="宋体" w:cs="宋体" w:hint="eastAsia"/>
                <w:b/>
                <w:bCs/>
                <w:color w:val="FFFFFF"/>
                <w:kern w:val="0"/>
                <w:szCs w:val="21"/>
              </w:rPr>
              <w:t>2</w:t>
            </w:r>
            <w:r w:rsidRPr="00BD1E88">
              <w:rPr>
                <w:rFonts w:ascii="楷体_GB2312" w:eastAsia="楷体_GB2312" w:hAnsi="宋体" w:cs="宋体" w:hint="eastAsia"/>
                <w:b/>
                <w:bCs/>
                <w:color w:val="FFFFFF"/>
                <w:kern w:val="0"/>
                <w:szCs w:val="21"/>
              </w:rPr>
              <w:t>月</w:t>
            </w:r>
          </w:p>
        </w:tc>
        <w:tc>
          <w:tcPr>
            <w:tcW w:w="2143" w:type="pct"/>
            <w:gridSpan w:val="3"/>
            <w:tcBorders>
              <w:top w:val="nil"/>
              <w:left w:val="nil"/>
              <w:bottom w:val="nil"/>
              <w:right w:val="nil"/>
            </w:tcBorders>
            <w:shd w:val="clear" w:color="000000" w:fill="666699"/>
            <w:noWrap/>
            <w:vAlign w:val="bottom"/>
            <w:hideMark/>
          </w:tcPr>
          <w:p w:rsidR="008E0A57" w:rsidRPr="00BD1E88" w:rsidRDefault="008E0A57" w:rsidP="00265082">
            <w:pPr>
              <w:widowControl/>
              <w:jc w:val="center"/>
              <w:rPr>
                <w:rFonts w:ascii="楷体_GB2312" w:eastAsia="楷体_GB2312" w:hAnsi="宋体" w:cs="宋体"/>
                <w:b/>
                <w:bCs/>
                <w:color w:val="FFFFFF"/>
                <w:kern w:val="0"/>
                <w:szCs w:val="21"/>
              </w:rPr>
            </w:pPr>
            <w:r w:rsidRPr="00BD1E88">
              <w:rPr>
                <w:rFonts w:ascii="楷体_GB2312" w:eastAsia="楷体_GB2312" w:hAnsi="宋体" w:cs="宋体" w:hint="eastAsia"/>
                <w:b/>
                <w:bCs/>
                <w:color w:val="FFFFFF"/>
                <w:kern w:val="0"/>
                <w:szCs w:val="21"/>
              </w:rPr>
              <w:t>组合设立以来</w:t>
            </w:r>
          </w:p>
        </w:tc>
      </w:tr>
      <w:tr w:rsidR="008E0A57" w:rsidRPr="00BD1E88" w:rsidTr="00195F1F">
        <w:trPr>
          <w:trHeight w:val="300"/>
        </w:trPr>
        <w:tc>
          <w:tcPr>
            <w:tcW w:w="714" w:type="pct"/>
            <w:vMerge/>
            <w:tcBorders>
              <w:top w:val="single" w:sz="8" w:space="0" w:color="auto"/>
              <w:left w:val="single" w:sz="8" w:space="0" w:color="auto"/>
              <w:bottom w:val="single" w:sz="8" w:space="0" w:color="000000"/>
              <w:right w:val="single" w:sz="8" w:space="0" w:color="auto"/>
            </w:tcBorders>
            <w:vAlign w:val="center"/>
            <w:hideMark/>
          </w:tcPr>
          <w:p w:rsidR="008E0A57" w:rsidRPr="00BD1E88" w:rsidRDefault="008E0A57" w:rsidP="00265082">
            <w:pPr>
              <w:widowControl/>
              <w:jc w:val="left"/>
              <w:rPr>
                <w:rFonts w:ascii="楷体_GB2312" w:eastAsia="楷体_GB2312" w:hAnsi="宋体" w:cs="宋体"/>
                <w:b/>
                <w:bCs/>
                <w:color w:val="FFFFFF"/>
                <w:kern w:val="0"/>
                <w:szCs w:val="21"/>
              </w:rPr>
            </w:pPr>
          </w:p>
        </w:tc>
        <w:tc>
          <w:tcPr>
            <w:tcW w:w="714" w:type="pct"/>
            <w:tcBorders>
              <w:top w:val="nil"/>
              <w:left w:val="nil"/>
              <w:bottom w:val="single" w:sz="8" w:space="0" w:color="auto"/>
              <w:right w:val="single" w:sz="8" w:space="0" w:color="auto"/>
            </w:tcBorders>
            <w:shd w:val="clear" w:color="000000" w:fill="FFCC00"/>
            <w:noWrap/>
            <w:hideMark/>
          </w:tcPr>
          <w:p w:rsidR="008E0A57" w:rsidRPr="00BD1E88" w:rsidRDefault="008E0A57" w:rsidP="00265082">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组合业绩</w:t>
            </w:r>
          </w:p>
        </w:tc>
        <w:tc>
          <w:tcPr>
            <w:tcW w:w="714" w:type="pct"/>
            <w:tcBorders>
              <w:top w:val="nil"/>
              <w:left w:val="nil"/>
              <w:bottom w:val="single" w:sz="8" w:space="0" w:color="auto"/>
              <w:right w:val="single" w:sz="8" w:space="0" w:color="auto"/>
            </w:tcBorders>
            <w:shd w:val="clear" w:color="000000" w:fill="FFCC00"/>
            <w:noWrap/>
            <w:hideMark/>
          </w:tcPr>
          <w:p w:rsidR="008E0A57" w:rsidRPr="00BD1E88" w:rsidRDefault="008E0A57" w:rsidP="00265082">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基准业绩</w:t>
            </w:r>
          </w:p>
        </w:tc>
        <w:tc>
          <w:tcPr>
            <w:tcW w:w="715" w:type="pct"/>
            <w:tcBorders>
              <w:top w:val="nil"/>
              <w:left w:val="nil"/>
              <w:bottom w:val="single" w:sz="8" w:space="0" w:color="auto"/>
              <w:right w:val="single" w:sz="8" w:space="0" w:color="auto"/>
            </w:tcBorders>
            <w:shd w:val="clear" w:color="000000" w:fill="FFCC00"/>
            <w:noWrap/>
            <w:hideMark/>
          </w:tcPr>
          <w:p w:rsidR="008E0A57" w:rsidRPr="00BD1E88" w:rsidRDefault="008E0A57" w:rsidP="00265082">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超越基准</w:t>
            </w:r>
          </w:p>
        </w:tc>
        <w:tc>
          <w:tcPr>
            <w:tcW w:w="714" w:type="pct"/>
            <w:tcBorders>
              <w:top w:val="nil"/>
              <w:left w:val="nil"/>
              <w:bottom w:val="single" w:sz="8" w:space="0" w:color="auto"/>
              <w:right w:val="single" w:sz="8" w:space="0" w:color="auto"/>
            </w:tcBorders>
            <w:shd w:val="clear" w:color="000000" w:fill="FFCC00"/>
            <w:noWrap/>
            <w:hideMark/>
          </w:tcPr>
          <w:p w:rsidR="008E0A57" w:rsidRPr="00BD1E88" w:rsidRDefault="008E0A57" w:rsidP="00265082">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组合业绩</w:t>
            </w:r>
          </w:p>
        </w:tc>
        <w:tc>
          <w:tcPr>
            <w:tcW w:w="714" w:type="pct"/>
            <w:tcBorders>
              <w:top w:val="nil"/>
              <w:left w:val="nil"/>
              <w:bottom w:val="single" w:sz="8" w:space="0" w:color="auto"/>
              <w:right w:val="single" w:sz="8" w:space="0" w:color="auto"/>
            </w:tcBorders>
            <w:shd w:val="clear" w:color="000000" w:fill="FFCC00"/>
            <w:noWrap/>
            <w:hideMark/>
          </w:tcPr>
          <w:p w:rsidR="008E0A57" w:rsidRPr="00BD1E88" w:rsidRDefault="008E0A57" w:rsidP="00265082">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基准业绩</w:t>
            </w:r>
          </w:p>
        </w:tc>
        <w:tc>
          <w:tcPr>
            <w:tcW w:w="715" w:type="pct"/>
            <w:tcBorders>
              <w:top w:val="nil"/>
              <w:left w:val="nil"/>
              <w:bottom w:val="single" w:sz="8" w:space="0" w:color="auto"/>
              <w:right w:val="single" w:sz="8" w:space="0" w:color="auto"/>
            </w:tcBorders>
            <w:shd w:val="clear" w:color="000000" w:fill="FFCC00"/>
            <w:noWrap/>
            <w:hideMark/>
          </w:tcPr>
          <w:p w:rsidR="008E0A57" w:rsidRPr="00BD1E88" w:rsidRDefault="008E0A57" w:rsidP="00265082">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超越基准</w:t>
            </w:r>
          </w:p>
        </w:tc>
      </w:tr>
      <w:tr w:rsidR="00BF7C9E" w:rsidRPr="00BD1E88" w:rsidTr="001170FF">
        <w:trPr>
          <w:trHeight w:val="315"/>
        </w:trPr>
        <w:tc>
          <w:tcPr>
            <w:tcW w:w="714" w:type="pct"/>
            <w:tcBorders>
              <w:top w:val="nil"/>
              <w:left w:val="single" w:sz="8" w:space="0" w:color="auto"/>
              <w:bottom w:val="single" w:sz="8" w:space="0" w:color="auto"/>
              <w:right w:val="single" w:sz="8" w:space="0" w:color="auto"/>
            </w:tcBorders>
            <w:shd w:val="clear" w:color="000000" w:fill="CCFFCC"/>
            <w:vAlign w:val="bottom"/>
            <w:hideMark/>
          </w:tcPr>
          <w:p w:rsidR="00BF7C9E" w:rsidRPr="00BD1E88" w:rsidRDefault="00BF7C9E" w:rsidP="00265082">
            <w:pPr>
              <w:widowControl/>
              <w:jc w:val="center"/>
              <w:rPr>
                <w:rFonts w:ascii="楷体_GB2312" w:eastAsia="楷体_GB2312" w:hAnsi="宋体" w:cs="宋体"/>
                <w:b/>
                <w:bCs/>
                <w:color w:val="000000"/>
                <w:kern w:val="0"/>
                <w:szCs w:val="21"/>
              </w:rPr>
            </w:pPr>
            <w:r w:rsidRPr="00BD1E88">
              <w:rPr>
                <w:rFonts w:ascii="楷体_GB2312" w:eastAsia="楷体_GB2312" w:hAnsi="宋体" w:cs="宋体" w:hint="eastAsia"/>
                <w:b/>
                <w:bCs/>
                <w:color w:val="000000"/>
                <w:kern w:val="0"/>
                <w:szCs w:val="21"/>
              </w:rPr>
              <w:t>积极型</w:t>
            </w:r>
          </w:p>
        </w:tc>
        <w:tc>
          <w:tcPr>
            <w:tcW w:w="714" w:type="pct"/>
            <w:tcBorders>
              <w:top w:val="nil"/>
              <w:left w:val="nil"/>
              <w:bottom w:val="single" w:sz="8" w:space="0" w:color="auto"/>
              <w:right w:val="single" w:sz="8" w:space="0" w:color="auto"/>
            </w:tcBorders>
            <w:shd w:val="clear" w:color="auto" w:fill="auto"/>
            <w:noWrap/>
            <w:vAlign w:val="center"/>
            <w:hideMark/>
          </w:tcPr>
          <w:p w:rsidR="00BF7C9E" w:rsidRPr="00BF7C9E" w:rsidRDefault="00BF7C9E">
            <w:pPr>
              <w:jc w:val="right"/>
              <w:rPr>
                <w:color w:val="FF0000"/>
              </w:rPr>
            </w:pPr>
            <w:r w:rsidRPr="00BF7C9E">
              <w:rPr>
                <w:rFonts w:hint="eastAsia"/>
                <w:color w:val="FF0000"/>
              </w:rPr>
              <w:t>-1.72%</w:t>
            </w:r>
          </w:p>
        </w:tc>
        <w:tc>
          <w:tcPr>
            <w:tcW w:w="714" w:type="pct"/>
            <w:tcBorders>
              <w:top w:val="nil"/>
              <w:left w:val="nil"/>
              <w:bottom w:val="single" w:sz="8" w:space="0" w:color="auto"/>
              <w:right w:val="single" w:sz="8" w:space="0" w:color="auto"/>
            </w:tcBorders>
            <w:shd w:val="clear" w:color="auto" w:fill="auto"/>
            <w:noWrap/>
            <w:vAlign w:val="bottom"/>
            <w:hideMark/>
          </w:tcPr>
          <w:p w:rsidR="00BF7C9E" w:rsidRPr="00BF7C9E" w:rsidRDefault="00BF7C9E">
            <w:pPr>
              <w:jc w:val="right"/>
              <w:rPr>
                <w:color w:val="FF0000"/>
              </w:rPr>
            </w:pPr>
            <w:r w:rsidRPr="00BF7C9E">
              <w:rPr>
                <w:rFonts w:hint="eastAsia"/>
                <w:color w:val="FF0000"/>
              </w:rPr>
              <w:t>-0.97%</w:t>
            </w:r>
          </w:p>
        </w:tc>
        <w:tc>
          <w:tcPr>
            <w:tcW w:w="715" w:type="pct"/>
            <w:tcBorders>
              <w:top w:val="nil"/>
              <w:left w:val="nil"/>
              <w:bottom w:val="single" w:sz="8" w:space="0" w:color="auto"/>
              <w:right w:val="single" w:sz="8" w:space="0" w:color="auto"/>
            </w:tcBorders>
            <w:shd w:val="clear" w:color="auto" w:fill="auto"/>
            <w:noWrap/>
            <w:hideMark/>
          </w:tcPr>
          <w:p w:rsidR="00BF7C9E" w:rsidRPr="00BF7C9E" w:rsidRDefault="00BF7C9E">
            <w:pPr>
              <w:jc w:val="center"/>
              <w:rPr>
                <w:b/>
                <w:color w:val="FF0000"/>
              </w:rPr>
            </w:pPr>
            <w:r w:rsidRPr="00BF7C9E">
              <w:rPr>
                <w:b/>
                <w:color w:val="FF0000"/>
              </w:rPr>
              <w:t>-0.75%</w:t>
            </w:r>
          </w:p>
        </w:tc>
        <w:tc>
          <w:tcPr>
            <w:tcW w:w="714" w:type="pct"/>
            <w:tcBorders>
              <w:top w:val="nil"/>
              <w:left w:val="nil"/>
              <w:bottom w:val="single" w:sz="8" w:space="0" w:color="auto"/>
              <w:right w:val="single" w:sz="8" w:space="0" w:color="auto"/>
            </w:tcBorders>
            <w:shd w:val="clear" w:color="auto" w:fill="auto"/>
            <w:noWrap/>
            <w:vAlign w:val="bottom"/>
            <w:hideMark/>
          </w:tcPr>
          <w:p w:rsidR="00BF7C9E" w:rsidRDefault="00BF7C9E">
            <w:pPr>
              <w:jc w:val="right"/>
              <w:rPr>
                <w:rFonts w:ascii="宋体" w:hAnsi="宋体" w:cs="宋体"/>
                <w:color w:val="0D0D0D"/>
                <w:sz w:val="24"/>
              </w:rPr>
            </w:pPr>
            <w:r>
              <w:rPr>
                <w:rFonts w:hint="eastAsia"/>
                <w:color w:val="0D0D0D"/>
              </w:rPr>
              <w:t>18.68%</w:t>
            </w:r>
          </w:p>
        </w:tc>
        <w:tc>
          <w:tcPr>
            <w:tcW w:w="714" w:type="pct"/>
            <w:tcBorders>
              <w:top w:val="nil"/>
              <w:left w:val="nil"/>
              <w:bottom w:val="single" w:sz="8" w:space="0" w:color="auto"/>
              <w:right w:val="single" w:sz="8" w:space="0" w:color="auto"/>
            </w:tcBorders>
            <w:shd w:val="clear" w:color="auto" w:fill="auto"/>
            <w:noWrap/>
            <w:vAlign w:val="bottom"/>
            <w:hideMark/>
          </w:tcPr>
          <w:p w:rsidR="00BF7C9E" w:rsidRDefault="00BF7C9E">
            <w:pPr>
              <w:jc w:val="right"/>
              <w:rPr>
                <w:rFonts w:ascii="宋体" w:hAnsi="宋体" w:cs="宋体"/>
                <w:color w:val="0D0D0D"/>
                <w:sz w:val="24"/>
              </w:rPr>
            </w:pPr>
            <w:r>
              <w:rPr>
                <w:rFonts w:hint="eastAsia"/>
                <w:color w:val="FF0000"/>
              </w:rPr>
              <w:t>-2.97%</w:t>
            </w:r>
          </w:p>
        </w:tc>
        <w:tc>
          <w:tcPr>
            <w:tcW w:w="715" w:type="pct"/>
            <w:tcBorders>
              <w:top w:val="nil"/>
              <w:left w:val="nil"/>
              <w:bottom w:val="single" w:sz="8" w:space="0" w:color="auto"/>
              <w:right w:val="single" w:sz="8" w:space="0" w:color="auto"/>
            </w:tcBorders>
            <w:shd w:val="clear" w:color="auto" w:fill="auto"/>
            <w:noWrap/>
            <w:hideMark/>
          </w:tcPr>
          <w:p w:rsidR="00BF7C9E" w:rsidRDefault="00BF7C9E">
            <w:pPr>
              <w:jc w:val="center"/>
              <w:rPr>
                <w:color w:val="0D0D0D"/>
                <w:szCs w:val="21"/>
              </w:rPr>
            </w:pPr>
            <w:r>
              <w:rPr>
                <w:color w:val="0D0D0D"/>
                <w:szCs w:val="21"/>
              </w:rPr>
              <w:t>21.65%</w:t>
            </w:r>
          </w:p>
        </w:tc>
      </w:tr>
      <w:tr w:rsidR="00BF7C9E" w:rsidRPr="00BD1E88" w:rsidTr="00195F1F">
        <w:trPr>
          <w:trHeight w:val="315"/>
        </w:trPr>
        <w:tc>
          <w:tcPr>
            <w:tcW w:w="714" w:type="pct"/>
            <w:tcBorders>
              <w:top w:val="nil"/>
              <w:left w:val="single" w:sz="8" w:space="0" w:color="auto"/>
              <w:bottom w:val="single" w:sz="8" w:space="0" w:color="auto"/>
              <w:right w:val="single" w:sz="8" w:space="0" w:color="auto"/>
            </w:tcBorders>
            <w:shd w:val="clear" w:color="000000" w:fill="CCFFCC"/>
            <w:vAlign w:val="bottom"/>
            <w:hideMark/>
          </w:tcPr>
          <w:p w:rsidR="00BF7C9E" w:rsidRPr="00BD1E88" w:rsidRDefault="00BF7C9E" w:rsidP="00265082">
            <w:pPr>
              <w:widowControl/>
              <w:jc w:val="center"/>
              <w:rPr>
                <w:rFonts w:ascii="楷体_GB2312" w:eastAsia="楷体_GB2312" w:hAnsi="宋体" w:cs="宋体"/>
                <w:b/>
                <w:bCs/>
                <w:color w:val="000000"/>
                <w:kern w:val="0"/>
                <w:szCs w:val="21"/>
              </w:rPr>
            </w:pPr>
            <w:r w:rsidRPr="00BD1E88">
              <w:rPr>
                <w:rFonts w:ascii="楷体_GB2312" w:eastAsia="楷体_GB2312" w:hAnsi="宋体" w:cs="宋体" w:hint="eastAsia"/>
                <w:b/>
                <w:bCs/>
                <w:color w:val="000000"/>
                <w:kern w:val="0"/>
                <w:szCs w:val="21"/>
              </w:rPr>
              <w:t>平衡型</w:t>
            </w:r>
          </w:p>
        </w:tc>
        <w:tc>
          <w:tcPr>
            <w:tcW w:w="714" w:type="pct"/>
            <w:tcBorders>
              <w:top w:val="nil"/>
              <w:left w:val="nil"/>
              <w:bottom w:val="single" w:sz="8" w:space="0" w:color="auto"/>
              <w:right w:val="single" w:sz="8" w:space="0" w:color="auto"/>
            </w:tcBorders>
            <w:shd w:val="clear" w:color="auto" w:fill="auto"/>
            <w:noWrap/>
            <w:vAlign w:val="bottom"/>
            <w:hideMark/>
          </w:tcPr>
          <w:p w:rsidR="00BF7C9E" w:rsidRPr="00BF7C9E" w:rsidRDefault="00BF7C9E">
            <w:pPr>
              <w:jc w:val="right"/>
              <w:rPr>
                <w:color w:val="FF0000"/>
              </w:rPr>
            </w:pPr>
            <w:r w:rsidRPr="00BF7C9E">
              <w:rPr>
                <w:rFonts w:hint="eastAsia"/>
                <w:color w:val="FF0000"/>
              </w:rPr>
              <w:t>-0.17%</w:t>
            </w:r>
          </w:p>
        </w:tc>
        <w:tc>
          <w:tcPr>
            <w:tcW w:w="714" w:type="pct"/>
            <w:tcBorders>
              <w:top w:val="nil"/>
              <w:left w:val="nil"/>
              <w:bottom w:val="single" w:sz="8" w:space="0" w:color="auto"/>
              <w:right w:val="single" w:sz="8" w:space="0" w:color="auto"/>
            </w:tcBorders>
            <w:shd w:val="clear" w:color="auto" w:fill="auto"/>
            <w:noWrap/>
            <w:vAlign w:val="bottom"/>
            <w:hideMark/>
          </w:tcPr>
          <w:p w:rsidR="00BF7C9E" w:rsidRPr="00BF7C9E" w:rsidRDefault="00BF7C9E">
            <w:pPr>
              <w:jc w:val="right"/>
              <w:rPr>
                <w:color w:val="0D0D0D"/>
              </w:rPr>
            </w:pPr>
            <w:r>
              <w:rPr>
                <w:rFonts w:hint="eastAsia"/>
                <w:color w:val="0D0D0D"/>
              </w:rPr>
              <w:t>0.28%</w:t>
            </w:r>
          </w:p>
        </w:tc>
        <w:tc>
          <w:tcPr>
            <w:tcW w:w="715" w:type="pct"/>
            <w:tcBorders>
              <w:top w:val="nil"/>
              <w:left w:val="nil"/>
              <w:bottom w:val="single" w:sz="8" w:space="0" w:color="auto"/>
              <w:right w:val="single" w:sz="8" w:space="0" w:color="auto"/>
            </w:tcBorders>
            <w:shd w:val="clear" w:color="auto" w:fill="auto"/>
            <w:noWrap/>
            <w:hideMark/>
          </w:tcPr>
          <w:p w:rsidR="00BF7C9E" w:rsidRPr="00BF7C9E" w:rsidRDefault="00BF7C9E">
            <w:pPr>
              <w:jc w:val="center"/>
              <w:rPr>
                <w:b/>
                <w:color w:val="FF0000"/>
              </w:rPr>
            </w:pPr>
            <w:r w:rsidRPr="00BF7C9E">
              <w:rPr>
                <w:b/>
                <w:color w:val="FF0000"/>
              </w:rPr>
              <w:t>-0.46%</w:t>
            </w:r>
          </w:p>
        </w:tc>
        <w:tc>
          <w:tcPr>
            <w:tcW w:w="714" w:type="pct"/>
            <w:tcBorders>
              <w:top w:val="nil"/>
              <w:left w:val="nil"/>
              <w:bottom w:val="single" w:sz="8" w:space="0" w:color="auto"/>
              <w:right w:val="single" w:sz="8" w:space="0" w:color="auto"/>
            </w:tcBorders>
            <w:shd w:val="clear" w:color="auto" w:fill="auto"/>
            <w:noWrap/>
            <w:vAlign w:val="bottom"/>
            <w:hideMark/>
          </w:tcPr>
          <w:p w:rsidR="00BF7C9E" w:rsidRDefault="00BF7C9E">
            <w:pPr>
              <w:jc w:val="right"/>
              <w:rPr>
                <w:rFonts w:ascii="宋体" w:hAnsi="宋体" w:cs="宋体"/>
                <w:color w:val="0D0D0D"/>
                <w:sz w:val="24"/>
              </w:rPr>
            </w:pPr>
            <w:r>
              <w:rPr>
                <w:rFonts w:hint="eastAsia"/>
                <w:color w:val="0D0D0D"/>
              </w:rPr>
              <w:t>14.15%</w:t>
            </w:r>
          </w:p>
        </w:tc>
        <w:tc>
          <w:tcPr>
            <w:tcW w:w="714" w:type="pct"/>
            <w:tcBorders>
              <w:top w:val="nil"/>
              <w:left w:val="nil"/>
              <w:bottom w:val="single" w:sz="8" w:space="0" w:color="auto"/>
              <w:right w:val="single" w:sz="8" w:space="0" w:color="auto"/>
            </w:tcBorders>
            <w:shd w:val="clear" w:color="auto" w:fill="auto"/>
            <w:noWrap/>
            <w:vAlign w:val="bottom"/>
            <w:hideMark/>
          </w:tcPr>
          <w:p w:rsidR="00BF7C9E" w:rsidRDefault="00BF7C9E">
            <w:pPr>
              <w:jc w:val="right"/>
              <w:rPr>
                <w:rFonts w:ascii="宋体" w:hAnsi="宋体" w:cs="宋体"/>
                <w:color w:val="0D0D0D"/>
                <w:sz w:val="24"/>
              </w:rPr>
            </w:pPr>
            <w:r>
              <w:rPr>
                <w:rFonts w:hint="eastAsia"/>
                <w:color w:val="0D0D0D"/>
              </w:rPr>
              <w:t>3.95%</w:t>
            </w:r>
          </w:p>
        </w:tc>
        <w:tc>
          <w:tcPr>
            <w:tcW w:w="715" w:type="pct"/>
            <w:tcBorders>
              <w:top w:val="nil"/>
              <w:left w:val="nil"/>
              <w:bottom w:val="single" w:sz="8" w:space="0" w:color="auto"/>
              <w:right w:val="single" w:sz="8" w:space="0" w:color="auto"/>
            </w:tcBorders>
            <w:shd w:val="clear" w:color="auto" w:fill="auto"/>
            <w:noWrap/>
            <w:hideMark/>
          </w:tcPr>
          <w:p w:rsidR="00BF7C9E" w:rsidRDefault="00BF7C9E">
            <w:pPr>
              <w:jc w:val="center"/>
              <w:rPr>
                <w:color w:val="0D0D0D"/>
                <w:szCs w:val="21"/>
              </w:rPr>
            </w:pPr>
            <w:r>
              <w:rPr>
                <w:color w:val="0D0D0D"/>
                <w:szCs w:val="21"/>
              </w:rPr>
              <w:t>10.21%</w:t>
            </w:r>
          </w:p>
        </w:tc>
      </w:tr>
      <w:tr w:rsidR="00BF7C9E" w:rsidRPr="00BD1E88" w:rsidTr="001170FF">
        <w:trPr>
          <w:trHeight w:val="315"/>
        </w:trPr>
        <w:tc>
          <w:tcPr>
            <w:tcW w:w="714" w:type="pct"/>
            <w:tcBorders>
              <w:top w:val="nil"/>
              <w:left w:val="single" w:sz="8" w:space="0" w:color="auto"/>
              <w:bottom w:val="single" w:sz="8" w:space="0" w:color="auto"/>
              <w:right w:val="single" w:sz="8" w:space="0" w:color="auto"/>
            </w:tcBorders>
            <w:shd w:val="clear" w:color="000000" w:fill="CCFFCC"/>
            <w:vAlign w:val="bottom"/>
            <w:hideMark/>
          </w:tcPr>
          <w:p w:rsidR="00BF7C9E" w:rsidRPr="00BD1E88" w:rsidRDefault="00BF7C9E" w:rsidP="00265082">
            <w:pPr>
              <w:widowControl/>
              <w:jc w:val="center"/>
              <w:rPr>
                <w:rFonts w:ascii="楷体_GB2312" w:eastAsia="楷体_GB2312" w:hAnsi="宋体" w:cs="宋体"/>
                <w:b/>
                <w:bCs/>
                <w:color w:val="000000"/>
                <w:kern w:val="0"/>
                <w:szCs w:val="21"/>
              </w:rPr>
            </w:pPr>
            <w:r w:rsidRPr="00BD1E88">
              <w:rPr>
                <w:rFonts w:ascii="楷体_GB2312" w:eastAsia="楷体_GB2312" w:hAnsi="宋体" w:cs="宋体" w:hint="eastAsia"/>
                <w:b/>
                <w:bCs/>
                <w:color w:val="000000"/>
                <w:kern w:val="0"/>
                <w:szCs w:val="21"/>
              </w:rPr>
              <w:t>稳健型</w:t>
            </w:r>
          </w:p>
        </w:tc>
        <w:tc>
          <w:tcPr>
            <w:tcW w:w="714" w:type="pct"/>
            <w:tcBorders>
              <w:top w:val="nil"/>
              <w:left w:val="nil"/>
              <w:bottom w:val="single" w:sz="8" w:space="0" w:color="auto"/>
              <w:right w:val="single" w:sz="8" w:space="0" w:color="auto"/>
            </w:tcBorders>
            <w:shd w:val="clear" w:color="auto" w:fill="auto"/>
            <w:noWrap/>
            <w:vAlign w:val="center"/>
            <w:hideMark/>
          </w:tcPr>
          <w:p w:rsidR="00BF7C9E" w:rsidRPr="00BF7C9E" w:rsidRDefault="00BF7C9E">
            <w:pPr>
              <w:jc w:val="right"/>
              <w:rPr>
                <w:color w:val="0D0D0D"/>
              </w:rPr>
            </w:pPr>
            <w:r w:rsidRPr="00BF7C9E">
              <w:rPr>
                <w:rFonts w:hint="eastAsia"/>
                <w:color w:val="0D0D0D"/>
              </w:rPr>
              <w:t>0.45%</w:t>
            </w:r>
          </w:p>
        </w:tc>
        <w:tc>
          <w:tcPr>
            <w:tcW w:w="714" w:type="pct"/>
            <w:tcBorders>
              <w:top w:val="nil"/>
              <w:left w:val="nil"/>
              <w:bottom w:val="single" w:sz="8" w:space="0" w:color="auto"/>
              <w:right w:val="single" w:sz="8" w:space="0" w:color="auto"/>
            </w:tcBorders>
            <w:shd w:val="clear" w:color="auto" w:fill="auto"/>
            <w:noWrap/>
            <w:vAlign w:val="bottom"/>
            <w:hideMark/>
          </w:tcPr>
          <w:p w:rsidR="00BF7C9E" w:rsidRPr="00BF7C9E" w:rsidRDefault="00BF7C9E">
            <w:pPr>
              <w:jc w:val="right"/>
              <w:rPr>
                <w:color w:val="0D0D0D"/>
              </w:rPr>
            </w:pPr>
            <w:r>
              <w:rPr>
                <w:rFonts w:hint="eastAsia"/>
                <w:color w:val="0D0D0D"/>
              </w:rPr>
              <w:t>0.23%</w:t>
            </w:r>
          </w:p>
        </w:tc>
        <w:tc>
          <w:tcPr>
            <w:tcW w:w="715" w:type="pct"/>
            <w:tcBorders>
              <w:top w:val="nil"/>
              <w:left w:val="nil"/>
              <w:bottom w:val="single" w:sz="8" w:space="0" w:color="auto"/>
              <w:right w:val="single" w:sz="8" w:space="0" w:color="auto"/>
            </w:tcBorders>
            <w:shd w:val="clear" w:color="auto" w:fill="auto"/>
            <w:noWrap/>
            <w:hideMark/>
          </w:tcPr>
          <w:p w:rsidR="00BF7C9E" w:rsidRPr="00BF7C9E" w:rsidRDefault="00BF7C9E">
            <w:pPr>
              <w:jc w:val="center"/>
              <w:rPr>
                <w:b/>
                <w:color w:val="0D0D0D"/>
              </w:rPr>
            </w:pPr>
            <w:r w:rsidRPr="00BF7C9E">
              <w:rPr>
                <w:b/>
                <w:color w:val="0D0D0D"/>
              </w:rPr>
              <w:t>0.22%</w:t>
            </w:r>
          </w:p>
        </w:tc>
        <w:tc>
          <w:tcPr>
            <w:tcW w:w="714" w:type="pct"/>
            <w:tcBorders>
              <w:top w:val="nil"/>
              <w:left w:val="nil"/>
              <w:bottom w:val="single" w:sz="8" w:space="0" w:color="auto"/>
              <w:right w:val="single" w:sz="8" w:space="0" w:color="auto"/>
            </w:tcBorders>
            <w:shd w:val="clear" w:color="auto" w:fill="auto"/>
            <w:noWrap/>
            <w:vAlign w:val="bottom"/>
            <w:hideMark/>
          </w:tcPr>
          <w:p w:rsidR="00BF7C9E" w:rsidRDefault="00BF7C9E">
            <w:pPr>
              <w:jc w:val="right"/>
              <w:rPr>
                <w:rFonts w:ascii="宋体" w:hAnsi="宋体" w:cs="宋体"/>
                <w:color w:val="0D0D0D"/>
                <w:sz w:val="24"/>
              </w:rPr>
            </w:pPr>
            <w:r>
              <w:rPr>
                <w:rFonts w:hint="eastAsia"/>
                <w:color w:val="0D0D0D"/>
              </w:rPr>
              <w:t>12.34%</w:t>
            </w:r>
          </w:p>
        </w:tc>
        <w:tc>
          <w:tcPr>
            <w:tcW w:w="714" w:type="pct"/>
            <w:tcBorders>
              <w:top w:val="nil"/>
              <w:left w:val="nil"/>
              <w:bottom w:val="single" w:sz="8" w:space="0" w:color="auto"/>
              <w:right w:val="single" w:sz="8" w:space="0" w:color="auto"/>
            </w:tcBorders>
            <w:shd w:val="clear" w:color="auto" w:fill="auto"/>
            <w:noWrap/>
            <w:vAlign w:val="bottom"/>
            <w:hideMark/>
          </w:tcPr>
          <w:p w:rsidR="00BF7C9E" w:rsidRDefault="00BF7C9E">
            <w:pPr>
              <w:jc w:val="right"/>
              <w:rPr>
                <w:rFonts w:ascii="宋体" w:hAnsi="宋体" w:cs="宋体"/>
                <w:color w:val="0D0D0D"/>
                <w:sz w:val="24"/>
              </w:rPr>
            </w:pPr>
            <w:r>
              <w:rPr>
                <w:rFonts w:hint="eastAsia"/>
                <w:color w:val="0D0D0D"/>
              </w:rPr>
              <w:t>10.22%</w:t>
            </w:r>
          </w:p>
        </w:tc>
        <w:tc>
          <w:tcPr>
            <w:tcW w:w="715" w:type="pct"/>
            <w:tcBorders>
              <w:top w:val="nil"/>
              <w:left w:val="nil"/>
              <w:bottom w:val="single" w:sz="8" w:space="0" w:color="auto"/>
              <w:right w:val="single" w:sz="8" w:space="0" w:color="auto"/>
            </w:tcBorders>
            <w:shd w:val="clear" w:color="auto" w:fill="auto"/>
            <w:noWrap/>
            <w:hideMark/>
          </w:tcPr>
          <w:p w:rsidR="00BF7C9E" w:rsidRDefault="00BF7C9E">
            <w:pPr>
              <w:jc w:val="center"/>
              <w:rPr>
                <w:color w:val="0D0D0D"/>
                <w:szCs w:val="21"/>
              </w:rPr>
            </w:pPr>
            <w:r>
              <w:rPr>
                <w:color w:val="0D0D0D"/>
                <w:szCs w:val="21"/>
              </w:rPr>
              <w:t>2.12%</w:t>
            </w:r>
          </w:p>
        </w:tc>
      </w:tr>
      <w:tr w:rsidR="0092248F" w:rsidRPr="00BD1E88" w:rsidTr="008E0A57">
        <w:trPr>
          <w:trHeight w:val="285"/>
        </w:trPr>
        <w:tc>
          <w:tcPr>
            <w:tcW w:w="714" w:type="pct"/>
            <w:vMerge w:val="restart"/>
            <w:tcBorders>
              <w:top w:val="nil"/>
              <w:left w:val="single" w:sz="8" w:space="0" w:color="auto"/>
              <w:bottom w:val="single" w:sz="8" w:space="0" w:color="000000"/>
              <w:right w:val="single" w:sz="8" w:space="0" w:color="auto"/>
            </w:tcBorders>
            <w:shd w:val="clear" w:color="000000" w:fill="666699"/>
            <w:noWrap/>
            <w:vAlign w:val="bottom"/>
            <w:hideMark/>
          </w:tcPr>
          <w:p w:rsidR="0092248F" w:rsidRPr="00BD1E88" w:rsidRDefault="0092248F" w:rsidP="00265082">
            <w:pPr>
              <w:widowControl/>
              <w:jc w:val="center"/>
              <w:rPr>
                <w:rFonts w:ascii="楷体_GB2312" w:eastAsia="楷体_GB2312" w:hAnsi="宋体" w:cs="宋体"/>
                <w:b/>
                <w:bCs/>
                <w:color w:val="FFFFFF"/>
                <w:kern w:val="0"/>
                <w:szCs w:val="21"/>
              </w:rPr>
            </w:pPr>
            <w:r w:rsidRPr="00BD1E88">
              <w:rPr>
                <w:rFonts w:ascii="楷体_GB2312" w:eastAsia="楷体_GB2312" w:hAnsi="宋体" w:cs="宋体" w:hint="eastAsia"/>
                <w:b/>
                <w:bCs/>
                <w:color w:val="FFFFFF"/>
                <w:kern w:val="0"/>
                <w:szCs w:val="21"/>
              </w:rPr>
              <w:t>组合类型</w:t>
            </w:r>
          </w:p>
        </w:tc>
        <w:tc>
          <w:tcPr>
            <w:tcW w:w="2143" w:type="pct"/>
            <w:gridSpan w:val="3"/>
            <w:tcBorders>
              <w:top w:val="nil"/>
              <w:left w:val="nil"/>
              <w:bottom w:val="nil"/>
              <w:right w:val="single" w:sz="8" w:space="0" w:color="000000"/>
            </w:tcBorders>
            <w:shd w:val="clear" w:color="000000" w:fill="666699"/>
            <w:noWrap/>
            <w:vAlign w:val="bottom"/>
            <w:hideMark/>
          </w:tcPr>
          <w:p w:rsidR="0092248F" w:rsidRPr="00BD1E88" w:rsidRDefault="0092248F" w:rsidP="00254CD8">
            <w:pPr>
              <w:widowControl/>
              <w:jc w:val="center"/>
              <w:rPr>
                <w:rFonts w:ascii="楷体_GB2312" w:eastAsia="楷体_GB2312" w:hAnsi="宋体" w:cs="宋体"/>
                <w:b/>
                <w:bCs/>
                <w:color w:val="FFFFFF"/>
                <w:kern w:val="0"/>
                <w:szCs w:val="21"/>
              </w:rPr>
            </w:pPr>
            <w:r>
              <w:rPr>
                <w:rFonts w:ascii="楷体_GB2312" w:eastAsia="楷体_GB2312" w:hAnsi="宋体" w:cs="宋体" w:hint="eastAsia"/>
                <w:b/>
                <w:bCs/>
                <w:color w:val="FFFFFF"/>
                <w:kern w:val="0"/>
                <w:szCs w:val="21"/>
              </w:rPr>
              <w:t>2013年全年</w:t>
            </w:r>
          </w:p>
        </w:tc>
        <w:tc>
          <w:tcPr>
            <w:tcW w:w="2143" w:type="pct"/>
            <w:gridSpan w:val="3"/>
            <w:tcBorders>
              <w:top w:val="nil"/>
              <w:left w:val="nil"/>
              <w:bottom w:val="nil"/>
              <w:right w:val="nil"/>
            </w:tcBorders>
            <w:shd w:val="clear" w:color="000000" w:fill="666699"/>
            <w:noWrap/>
            <w:vAlign w:val="bottom"/>
            <w:hideMark/>
          </w:tcPr>
          <w:p w:rsidR="0092248F" w:rsidRPr="00BD1E88" w:rsidRDefault="0092248F" w:rsidP="00254CD8">
            <w:pPr>
              <w:widowControl/>
              <w:jc w:val="center"/>
              <w:rPr>
                <w:rFonts w:ascii="楷体_GB2312" w:eastAsia="楷体_GB2312" w:hAnsi="宋体" w:cs="宋体"/>
                <w:b/>
                <w:bCs/>
                <w:color w:val="FFFFFF"/>
                <w:kern w:val="0"/>
                <w:szCs w:val="21"/>
              </w:rPr>
            </w:pPr>
            <w:r w:rsidRPr="00BD1E88">
              <w:rPr>
                <w:rFonts w:ascii="楷体_GB2312" w:eastAsia="楷体_GB2312" w:hAnsi="宋体" w:cs="宋体" w:hint="eastAsia"/>
                <w:b/>
                <w:bCs/>
                <w:color w:val="FFFFFF"/>
                <w:kern w:val="0"/>
                <w:szCs w:val="21"/>
              </w:rPr>
              <w:t>2012年全年</w:t>
            </w:r>
          </w:p>
        </w:tc>
      </w:tr>
      <w:tr w:rsidR="00F04A01" w:rsidRPr="00BD1E88" w:rsidTr="00195F1F">
        <w:trPr>
          <w:trHeight w:val="300"/>
        </w:trPr>
        <w:tc>
          <w:tcPr>
            <w:tcW w:w="714" w:type="pct"/>
            <w:vMerge/>
            <w:tcBorders>
              <w:top w:val="nil"/>
              <w:left w:val="single" w:sz="8" w:space="0" w:color="auto"/>
              <w:bottom w:val="single" w:sz="8" w:space="0" w:color="000000"/>
              <w:right w:val="single" w:sz="8" w:space="0" w:color="auto"/>
            </w:tcBorders>
            <w:vAlign w:val="center"/>
            <w:hideMark/>
          </w:tcPr>
          <w:p w:rsidR="00F04A01" w:rsidRPr="00BD1E88" w:rsidRDefault="00F04A01" w:rsidP="00265082">
            <w:pPr>
              <w:widowControl/>
              <w:jc w:val="left"/>
              <w:rPr>
                <w:rFonts w:ascii="楷体_GB2312" w:eastAsia="楷体_GB2312" w:hAnsi="宋体" w:cs="宋体"/>
                <w:b/>
                <w:bCs/>
                <w:color w:val="FFFFFF"/>
                <w:kern w:val="0"/>
                <w:szCs w:val="21"/>
              </w:rPr>
            </w:pPr>
          </w:p>
        </w:tc>
        <w:tc>
          <w:tcPr>
            <w:tcW w:w="714" w:type="pct"/>
            <w:tcBorders>
              <w:top w:val="nil"/>
              <w:left w:val="nil"/>
              <w:bottom w:val="single" w:sz="8" w:space="0" w:color="auto"/>
              <w:right w:val="single" w:sz="8" w:space="0" w:color="auto"/>
            </w:tcBorders>
            <w:shd w:val="clear" w:color="000000" w:fill="FFCC00"/>
            <w:noWrap/>
            <w:hideMark/>
          </w:tcPr>
          <w:p w:rsidR="00F04A01" w:rsidRPr="00BD1E88" w:rsidRDefault="00F04A01" w:rsidP="007C7F38">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组合业绩</w:t>
            </w:r>
          </w:p>
        </w:tc>
        <w:tc>
          <w:tcPr>
            <w:tcW w:w="714" w:type="pct"/>
            <w:tcBorders>
              <w:top w:val="nil"/>
              <w:left w:val="nil"/>
              <w:bottom w:val="single" w:sz="8" w:space="0" w:color="auto"/>
              <w:right w:val="single" w:sz="8" w:space="0" w:color="auto"/>
            </w:tcBorders>
            <w:shd w:val="clear" w:color="000000" w:fill="FFCC00"/>
            <w:noWrap/>
            <w:hideMark/>
          </w:tcPr>
          <w:p w:rsidR="00F04A01" w:rsidRPr="00BD1E88" w:rsidRDefault="00F04A01" w:rsidP="007C7F38">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基准业绩</w:t>
            </w:r>
          </w:p>
        </w:tc>
        <w:tc>
          <w:tcPr>
            <w:tcW w:w="715" w:type="pct"/>
            <w:tcBorders>
              <w:top w:val="nil"/>
              <w:left w:val="nil"/>
              <w:bottom w:val="single" w:sz="8" w:space="0" w:color="auto"/>
              <w:right w:val="single" w:sz="8" w:space="0" w:color="auto"/>
            </w:tcBorders>
            <w:shd w:val="clear" w:color="000000" w:fill="FFCC00"/>
            <w:noWrap/>
            <w:hideMark/>
          </w:tcPr>
          <w:p w:rsidR="00F04A01" w:rsidRPr="00BD1E88" w:rsidRDefault="00F04A01" w:rsidP="007C7F38">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超越基准</w:t>
            </w:r>
          </w:p>
        </w:tc>
        <w:tc>
          <w:tcPr>
            <w:tcW w:w="714" w:type="pct"/>
            <w:tcBorders>
              <w:top w:val="nil"/>
              <w:left w:val="nil"/>
              <w:bottom w:val="single" w:sz="8" w:space="0" w:color="auto"/>
              <w:right w:val="single" w:sz="8" w:space="0" w:color="auto"/>
            </w:tcBorders>
            <w:shd w:val="clear" w:color="000000" w:fill="FFCC00"/>
            <w:noWrap/>
            <w:hideMark/>
          </w:tcPr>
          <w:p w:rsidR="00F04A01" w:rsidRPr="00BD1E88" w:rsidRDefault="00F04A01" w:rsidP="00265082">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组合业绩</w:t>
            </w:r>
          </w:p>
        </w:tc>
        <w:tc>
          <w:tcPr>
            <w:tcW w:w="714" w:type="pct"/>
            <w:tcBorders>
              <w:top w:val="nil"/>
              <w:left w:val="nil"/>
              <w:bottom w:val="single" w:sz="8" w:space="0" w:color="auto"/>
              <w:right w:val="single" w:sz="8" w:space="0" w:color="auto"/>
            </w:tcBorders>
            <w:shd w:val="clear" w:color="000000" w:fill="FFCC00"/>
            <w:noWrap/>
            <w:hideMark/>
          </w:tcPr>
          <w:p w:rsidR="00F04A01" w:rsidRPr="00BD1E88" w:rsidRDefault="00F04A01" w:rsidP="00265082">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基准业绩</w:t>
            </w:r>
          </w:p>
        </w:tc>
        <w:tc>
          <w:tcPr>
            <w:tcW w:w="715" w:type="pct"/>
            <w:tcBorders>
              <w:top w:val="nil"/>
              <w:left w:val="nil"/>
              <w:bottom w:val="single" w:sz="8" w:space="0" w:color="auto"/>
              <w:right w:val="single" w:sz="8" w:space="0" w:color="auto"/>
            </w:tcBorders>
            <w:shd w:val="clear" w:color="000000" w:fill="FFCC00"/>
            <w:noWrap/>
            <w:hideMark/>
          </w:tcPr>
          <w:p w:rsidR="00F04A01" w:rsidRPr="00BD1E88" w:rsidRDefault="00F04A01" w:rsidP="00265082">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超越基准</w:t>
            </w:r>
          </w:p>
        </w:tc>
      </w:tr>
      <w:tr w:rsidR="0092248F" w:rsidRPr="00BD1E88" w:rsidTr="00254CD8">
        <w:trPr>
          <w:trHeight w:val="315"/>
        </w:trPr>
        <w:tc>
          <w:tcPr>
            <w:tcW w:w="714" w:type="pct"/>
            <w:tcBorders>
              <w:top w:val="nil"/>
              <w:left w:val="single" w:sz="8" w:space="0" w:color="auto"/>
              <w:bottom w:val="single" w:sz="8" w:space="0" w:color="auto"/>
              <w:right w:val="single" w:sz="8" w:space="0" w:color="auto"/>
            </w:tcBorders>
            <w:shd w:val="clear" w:color="000000" w:fill="CCFFCC"/>
            <w:vAlign w:val="bottom"/>
            <w:hideMark/>
          </w:tcPr>
          <w:p w:rsidR="0092248F" w:rsidRPr="00BD1E88" w:rsidRDefault="0092248F" w:rsidP="00265082">
            <w:pPr>
              <w:widowControl/>
              <w:jc w:val="center"/>
              <w:rPr>
                <w:rFonts w:ascii="楷体_GB2312" w:eastAsia="楷体_GB2312" w:hAnsi="宋体" w:cs="宋体"/>
                <w:b/>
                <w:bCs/>
                <w:color w:val="000000"/>
                <w:kern w:val="0"/>
                <w:szCs w:val="21"/>
              </w:rPr>
            </w:pPr>
            <w:r w:rsidRPr="00BD1E88">
              <w:rPr>
                <w:rFonts w:ascii="楷体_GB2312" w:eastAsia="楷体_GB2312" w:hAnsi="宋体" w:cs="宋体" w:hint="eastAsia"/>
                <w:b/>
                <w:bCs/>
                <w:color w:val="000000"/>
                <w:kern w:val="0"/>
                <w:szCs w:val="21"/>
              </w:rPr>
              <w:t>积极型</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48F" w:rsidRDefault="0092248F" w:rsidP="00254CD8">
            <w:pPr>
              <w:jc w:val="right"/>
              <w:rPr>
                <w:rFonts w:ascii="宋体" w:hAnsi="宋体" w:cs="宋体"/>
                <w:color w:val="0D0D0D"/>
                <w:sz w:val="24"/>
              </w:rPr>
            </w:pPr>
            <w:r>
              <w:rPr>
                <w:rFonts w:hint="eastAsia"/>
                <w:color w:val="0D0D0D"/>
              </w:rPr>
              <w:t>30.22%</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rsidR="0092248F" w:rsidRDefault="0092248F" w:rsidP="00254CD8">
            <w:pPr>
              <w:jc w:val="right"/>
              <w:rPr>
                <w:rFonts w:ascii="宋体" w:hAnsi="宋体" w:cs="宋体"/>
                <w:color w:val="0D0D0D"/>
                <w:sz w:val="24"/>
              </w:rPr>
            </w:pPr>
            <w:r>
              <w:rPr>
                <w:rFonts w:hint="eastAsia"/>
                <w:color w:val="0D0D0D"/>
              </w:rPr>
              <w:t>12.99%</w:t>
            </w:r>
          </w:p>
        </w:tc>
        <w:tc>
          <w:tcPr>
            <w:tcW w:w="715" w:type="pct"/>
            <w:tcBorders>
              <w:top w:val="nil"/>
              <w:left w:val="nil"/>
              <w:bottom w:val="single" w:sz="8" w:space="0" w:color="auto"/>
              <w:right w:val="single" w:sz="8" w:space="0" w:color="auto"/>
            </w:tcBorders>
            <w:shd w:val="clear" w:color="auto" w:fill="auto"/>
            <w:noWrap/>
            <w:vAlign w:val="bottom"/>
            <w:hideMark/>
          </w:tcPr>
          <w:p w:rsidR="0092248F" w:rsidRPr="0062623C" w:rsidRDefault="0092248F" w:rsidP="00254CD8">
            <w:pPr>
              <w:jc w:val="right"/>
              <w:rPr>
                <w:rFonts w:ascii="宋体" w:hAnsi="宋体" w:cs="宋体"/>
                <w:b/>
                <w:color w:val="0D0D0D"/>
                <w:sz w:val="24"/>
              </w:rPr>
            </w:pPr>
            <w:r w:rsidRPr="0062623C">
              <w:rPr>
                <w:rFonts w:hint="eastAsia"/>
                <w:b/>
                <w:color w:val="0D0D0D"/>
              </w:rPr>
              <w:t>15.93%</w:t>
            </w:r>
          </w:p>
        </w:tc>
        <w:tc>
          <w:tcPr>
            <w:tcW w:w="714" w:type="pct"/>
            <w:tcBorders>
              <w:top w:val="nil"/>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0D0D0D"/>
                <w:szCs w:val="21"/>
              </w:rPr>
              <w:t>7.57%</w:t>
            </w:r>
          </w:p>
        </w:tc>
        <w:tc>
          <w:tcPr>
            <w:tcW w:w="714" w:type="pct"/>
            <w:tcBorders>
              <w:top w:val="nil"/>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0D0D0D"/>
                <w:szCs w:val="21"/>
              </w:rPr>
              <w:t>4.95%</w:t>
            </w:r>
          </w:p>
        </w:tc>
        <w:tc>
          <w:tcPr>
            <w:tcW w:w="715" w:type="pct"/>
            <w:tcBorders>
              <w:top w:val="nil"/>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b/>
                <w:i/>
                <w:color w:val="0D0D0D"/>
                <w:szCs w:val="21"/>
              </w:rPr>
            </w:pPr>
            <w:r w:rsidRPr="007E4F1C">
              <w:rPr>
                <w:rFonts w:hint="eastAsia"/>
                <w:b/>
                <w:i/>
                <w:color w:val="0D0D0D"/>
                <w:szCs w:val="21"/>
              </w:rPr>
              <w:t>2.43%</w:t>
            </w:r>
          </w:p>
        </w:tc>
      </w:tr>
      <w:tr w:rsidR="0092248F" w:rsidRPr="00BD1E88" w:rsidTr="0092248F">
        <w:trPr>
          <w:trHeight w:val="315"/>
        </w:trPr>
        <w:tc>
          <w:tcPr>
            <w:tcW w:w="714" w:type="pct"/>
            <w:tcBorders>
              <w:top w:val="nil"/>
              <w:left w:val="single" w:sz="8" w:space="0" w:color="auto"/>
              <w:bottom w:val="single" w:sz="8" w:space="0" w:color="auto"/>
              <w:right w:val="single" w:sz="8" w:space="0" w:color="auto"/>
            </w:tcBorders>
            <w:shd w:val="clear" w:color="000000" w:fill="CCFFCC"/>
            <w:vAlign w:val="bottom"/>
            <w:hideMark/>
          </w:tcPr>
          <w:p w:rsidR="0092248F" w:rsidRPr="00BD1E88" w:rsidRDefault="0092248F" w:rsidP="00265082">
            <w:pPr>
              <w:widowControl/>
              <w:jc w:val="center"/>
              <w:rPr>
                <w:rFonts w:ascii="楷体_GB2312" w:eastAsia="楷体_GB2312" w:hAnsi="宋体" w:cs="宋体"/>
                <w:b/>
                <w:bCs/>
                <w:color w:val="000000"/>
                <w:kern w:val="0"/>
                <w:szCs w:val="21"/>
              </w:rPr>
            </w:pPr>
            <w:r w:rsidRPr="00BD1E88">
              <w:rPr>
                <w:rFonts w:ascii="楷体_GB2312" w:eastAsia="楷体_GB2312" w:hAnsi="宋体" w:cs="宋体" w:hint="eastAsia"/>
                <w:b/>
                <w:bCs/>
                <w:color w:val="000000"/>
                <w:kern w:val="0"/>
                <w:szCs w:val="21"/>
              </w:rPr>
              <w:t>平衡型</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92248F" w:rsidRDefault="0092248F" w:rsidP="00254CD8">
            <w:pPr>
              <w:jc w:val="right"/>
              <w:rPr>
                <w:rFonts w:ascii="宋体" w:hAnsi="宋体" w:cs="宋体"/>
                <w:color w:val="0D0D0D"/>
                <w:sz w:val="24"/>
              </w:rPr>
            </w:pPr>
            <w:r>
              <w:rPr>
                <w:rFonts w:hint="eastAsia"/>
                <w:color w:val="0D0D0D"/>
              </w:rPr>
              <w:t>9.98%</w:t>
            </w:r>
          </w:p>
        </w:tc>
        <w:tc>
          <w:tcPr>
            <w:tcW w:w="714" w:type="pct"/>
            <w:tcBorders>
              <w:top w:val="nil"/>
              <w:left w:val="nil"/>
              <w:bottom w:val="single" w:sz="4" w:space="0" w:color="auto"/>
              <w:right w:val="single" w:sz="4" w:space="0" w:color="auto"/>
            </w:tcBorders>
            <w:shd w:val="clear" w:color="auto" w:fill="auto"/>
            <w:noWrap/>
            <w:vAlign w:val="bottom"/>
            <w:hideMark/>
          </w:tcPr>
          <w:p w:rsidR="0092248F" w:rsidRDefault="0092248F" w:rsidP="00254CD8">
            <w:pPr>
              <w:jc w:val="right"/>
              <w:rPr>
                <w:rFonts w:ascii="宋体" w:hAnsi="宋体" w:cs="宋体"/>
                <w:color w:val="0D0D0D"/>
                <w:sz w:val="24"/>
              </w:rPr>
            </w:pPr>
            <w:r>
              <w:rPr>
                <w:rFonts w:hint="eastAsia"/>
                <w:color w:val="0D0D0D"/>
              </w:rPr>
              <w:t>8.27%</w:t>
            </w:r>
          </w:p>
        </w:tc>
        <w:tc>
          <w:tcPr>
            <w:tcW w:w="715" w:type="pct"/>
            <w:tcBorders>
              <w:top w:val="nil"/>
              <w:left w:val="nil"/>
              <w:bottom w:val="single" w:sz="8" w:space="0" w:color="auto"/>
              <w:right w:val="single" w:sz="8" w:space="0" w:color="auto"/>
            </w:tcBorders>
            <w:shd w:val="clear" w:color="auto" w:fill="auto"/>
            <w:noWrap/>
            <w:vAlign w:val="bottom"/>
            <w:hideMark/>
          </w:tcPr>
          <w:p w:rsidR="0092248F" w:rsidRPr="0062623C" w:rsidRDefault="0092248F" w:rsidP="00254CD8">
            <w:pPr>
              <w:jc w:val="right"/>
              <w:rPr>
                <w:rFonts w:ascii="宋体" w:hAnsi="宋体" w:cs="宋体"/>
                <w:b/>
                <w:color w:val="0D0D0D"/>
                <w:sz w:val="24"/>
              </w:rPr>
            </w:pPr>
            <w:r w:rsidRPr="0062623C">
              <w:rPr>
                <w:rFonts w:hint="eastAsia"/>
                <w:b/>
                <w:color w:val="0D0D0D"/>
              </w:rPr>
              <w:t>1.49%</w:t>
            </w:r>
          </w:p>
        </w:tc>
        <w:tc>
          <w:tcPr>
            <w:tcW w:w="714" w:type="pct"/>
            <w:tcBorders>
              <w:top w:val="nil"/>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0D0D0D"/>
                <w:szCs w:val="21"/>
              </w:rPr>
              <w:t>11.89%</w:t>
            </w:r>
          </w:p>
        </w:tc>
        <w:tc>
          <w:tcPr>
            <w:tcW w:w="714" w:type="pct"/>
            <w:tcBorders>
              <w:top w:val="nil"/>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0D0D0D"/>
                <w:szCs w:val="21"/>
              </w:rPr>
              <w:t>6.28%</w:t>
            </w:r>
          </w:p>
        </w:tc>
        <w:tc>
          <w:tcPr>
            <w:tcW w:w="715" w:type="pct"/>
            <w:tcBorders>
              <w:top w:val="nil"/>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b/>
                <w:i/>
                <w:color w:val="0D0D0D"/>
                <w:szCs w:val="21"/>
              </w:rPr>
            </w:pPr>
            <w:r w:rsidRPr="007E4F1C">
              <w:rPr>
                <w:rFonts w:hint="eastAsia"/>
                <w:b/>
                <w:i/>
                <w:color w:val="0D0D0D"/>
                <w:szCs w:val="21"/>
              </w:rPr>
              <w:t>5.19%</w:t>
            </w:r>
          </w:p>
        </w:tc>
      </w:tr>
      <w:tr w:rsidR="0092248F" w:rsidRPr="00BD1E88" w:rsidTr="0092248F">
        <w:trPr>
          <w:trHeight w:val="315"/>
        </w:trPr>
        <w:tc>
          <w:tcPr>
            <w:tcW w:w="714" w:type="pct"/>
            <w:tcBorders>
              <w:top w:val="nil"/>
              <w:left w:val="single" w:sz="8" w:space="0" w:color="auto"/>
              <w:bottom w:val="single" w:sz="8" w:space="0" w:color="auto"/>
              <w:right w:val="single" w:sz="8" w:space="0" w:color="auto"/>
            </w:tcBorders>
            <w:shd w:val="clear" w:color="000000" w:fill="CCFFCC"/>
            <w:vAlign w:val="bottom"/>
            <w:hideMark/>
          </w:tcPr>
          <w:p w:rsidR="0092248F" w:rsidRPr="00BD1E88" w:rsidRDefault="0092248F" w:rsidP="00265082">
            <w:pPr>
              <w:widowControl/>
              <w:jc w:val="center"/>
              <w:rPr>
                <w:rFonts w:ascii="楷体_GB2312" w:eastAsia="楷体_GB2312" w:hAnsi="宋体" w:cs="宋体"/>
                <w:b/>
                <w:bCs/>
                <w:color w:val="000000"/>
                <w:kern w:val="0"/>
                <w:szCs w:val="21"/>
              </w:rPr>
            </w:pPr>
            <w:r w:rsidRPr="00BD1E88">
              <w:rPr>
                <w:rFonts w:ascii="楷体_GB2312" w:eastAsia="楷体_GB2312" w:hAnsi="宋体" w:cs="宋体" w:hint="eastAsia"/>
                <w:b/>
                <w:bCs/>
                <w:color w:val="000000"/>
                <w:kern w:val="0"/>
                <w:szCs w:val="21"/>
              </w:rPr>
              <w:t>稳健型</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92248F" w:rsidRDefault="0092248F" w:rsidP="00254CD8">
            <w:pPr>
              <w:jc w:val="right"/>
              <w:rPr>
                <w:rFonts w:ascii="宋体" w:hAnsi="宋体" w:cs="宋体"/>
                <w:color w:val="0D0D0D"/>
                <w:sz w:val="24"/>
              </w:rPr>
            </w:pPr>
            <w:r>
              <w:rPr>
                <w:rFonts w:hint="eastAsia"/>
                <w:color w:val="0D0D0D"/>
              </w:rPr>
              <w:t>2.96%</w:t>
            </w:r>
          </w:p>
        </w:tc>
        <w:tc>
          <w:tcPr>
            <w:tcW w:w="714" w:type="pct"/>
            <w:tcBorders>
              <w:top w:val="nil"/>
              <w:left w:val="nil"/>
              <w:bottom w:val="single" w:sz="4" w:space="0" w:color="auto"/>
              <w:right w:val="single" w:sz="4" w:space="0" w:color="auto"/>
            </w:tcBorders>
            <w:shd w:val="clear" w:color="auto" w:fill="auto"/>
            <w:noWrap/>
            <w:vAlign w:val="bottom"/>
            <w:hideMark/>
          </w:tcPr>
          <w:p w:rsidR="0092248F" w:rsidRDefault="0092248F" w:rsidP="00254CD8">
            <w:pPr>
              <w:jc w:val="right"/>
              <w:rPr>
                <w:rFonts w:ascii="宋体" w:hAnsi="宋体" w:cs="宋体"/>
                <w:color w:val="0D0D0D"/>
                <w:sz w:val="24"/>
              </w:rPr>
            </w:pPr>
            <w:r>
              <w:rPr>
                <w:rFonts w:hint="eastAsia"/>
                <w:color w:val="0D0D0D"/>
              </w:rPr>
              <w:t>3.08%</w:t>
            </w:r>
          </w:p>
        </w:tc>
        <w:tc>
          <w:tcPr>
            <w:tcW w:w="715" w:type="pct"/>
            <w:tcBorders>
              <w:top w:val="nil"/>
              <w:left w:val="nil"/>
              <w:bottom w:val="single" w:sz="8" w:space="0" w:color="auto"/>
              <w:right w:val="single" w:sz="8" w:space="0" w:color="auto"/>
            </w:tcBorders>
            <w:shd w:val="clear" w:color="auto" w:fill="auto"/>
            <w:noWrap/>
            <w:vAlign w:val="bottom"/>
            <w:hideMark/>
          </w:tcPr>
          <w:p w:rsidR="0092248F" w:rsidRPr="0062623C" w:rsidRDefault="0092248F" w:rsidP="00254CD8">
            <w:pPr>
              <w:jc w:val="right"/>
              <w:rPr>
                <w:rFonts w:ascii="宋体" w:hAnsi="宋体" w:cs="宋体"/>
                <w:b/>
                <w:color w:val="0D0D0D"/>
                <w:sz w:val="24"/>
              </w:rPr>
            </w:pPr>
            <w:r w:rsidRPr="0062623C">
              <w:rPr>
                <w:rFonts w:hint="eastAsia"/>
                <w:b/>
                <w:color w:val="FF0000"/>
              </w:rPr>
              <w:t>-0.12%</w:t>
            </w:r>
          </w:p>
        </w:tc>
        <w:tc>
          <w:tcPr>
            <w:tcW w:w="714" w:type="pct"/>
            <w:tcBorders>
              <w:top w:val="single" w:sz="8" w:space="0" w:color="auto"/>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0D0D0D"/>
                <w:szCs w:val="21"/>
              </w:rPr>
              <w:t>4.70%</w:t>
            </w:r>
          </w:p>
        </w:tc>
        <w:tc>
          <w:tcPr>
            <w:tcW w:w="714" w:type="pct"/>
            <w:tcBorders>
              <w:top w:val="single" w:sz="8" w:space="0" w:color="auto"/>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0D0D0D"/>
                <w:szCs w:val="21"/>
              </w:rPr>
              <w:t>3.34%</w:t>
            </w:r>
          </w:p>
        </w:tc>
        <w:tc>
          <w:tcPr>
            <w:tcW w:w="715" w:type="pct"/>
            <w:tcBorders>
              <w:top w:val="single" w:sz="8" w:space="0" w:color="auto"/>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b/>
                <w:i/>
                <w:color w:val="0D0D0D"/>
                <w:szCs w:val="21"/>
              </w:rPr>
            </w:pPr>
            <w:r w:rsidRPr="007E4F1C">
              <w:rPr>
                <w:rFonts w:hint="eastAsia"/>
                <w:b/>
                <w:i/>
                <w:color w:val="0D0D0D"/>
                <w:szCs w:val="21"/>
              </w:rPr>
              <w:t>1.32%</w:t>
            </w:r>
          </w:p>
        </w:tc>
      </w:tr>
      <w:tr w:rsidR="0092248F" w:rsidRPr="00BD1E88" w:rsidTr="0092248F">
        <w:trPr>
          <w:trHeight w:val="285"/>
        </w:trPr>
        <w:tc>
          <w:tcPr>
            <w:tcW w:w="714" w:type="pct"/>
            <w:vMerge w:val="restart"/>
            <w:tcBorders>
              <w:top w:val="nil"/>
              <w:left w:val="single" w:sz="8" w:space="0" w:color="auto"/>
              <w:bottom w:val="single" w:sz="8" w:space="0" w:color="000000"/>
              <w:right w:val="single" w:sz="8" w:space="0" w:color="auto"/>
            </w:tcBorders>
            <w:shd w:val="clear" w:color="000000" w:fill="666699"/>
            <w:noWrap/>
            <w:vAlign w:val="bottom"/>
            <w:hideMark/>
          </w:tcPr>
          <w:p w:rsidR="0092248F" w:rsidRPr="00BD1E88" w:rsidRDefault="0092248F" w:rsidP="00254CD8">
            <w:pPr>
              <w:widowControl/>
              <w:jc w:val="center"/>
              <w:rPr>
                <w:rFonts w:ascii="楷体_GB2312" w:eastAsia="楷体_GB2312" w:hAnsi="宋体" w:cs="宋体"/>
                <w:b/>
                <w:bCs/>
                <w:color w:val="FFFFFF"/>
                <w:kern w:val="0"/>
                <w:szCs w:val="21"/>
              </w:rPr>
            </w:pPr>
            <w:r w:rsidRPr="00BD1E88">
              <w:rPr>
                <w:rFonts w:ascii="楷体_GB2312" w:eastAsia="楷体_GB2312" w:hAnsi="宋体" w:cs="宋体" w:hint="eastAsia"/>
                <w:b/>
                <w:bCs/>
                <w:color w:val="FFFFFF"/>
                <w:kern w:val="0"/>
                <w:szCs w:val="21"/>
              </w:rPr>
              <w:t>组合类型</w:t>
            </w:r>
          </w:p>
        </w:tc>
        <w:tc>
          <w:tcPr>
            <w:tcW w:w="2143" w:type="pct"/>
            <w:gridSpan w:val="3"/>
            <w:tcBorders>
              <w:top w:val="nil"/>
              <w:left w:val="nil"/>
              <w:bottom w:val="nil"/>
              <w:right w:val="single" w:sz="8" w:space="0" w:color="auto"/>
            </w:tcBorders>
            <w:shd w:val="clear" w:color="000000" w:fill="666699"/>
            <w:noWrap/>
            <w:vAlign w:val="bottom"/>
            <w:hideMark/>
          </w:tcPr>
          <w:p w:rsidR="0092248F" w:rsidRPr="00BD1E88" w:rsidRDefault="0092248F" w:rsidP="00254CD8">
            <w:pPr>
              <w:widowControl/>
              <w:jc w:val="center"/>
              <w:rPr>
                <w:rFonts w:ascii="楷体_GB2312" w:eastAsia="楷体_GB2312" w:hAnsi="宋体" w:cs="宋体"/>
                <w:b/>
                <w:bCs/>
                <w:color w:val="FFFFFF"/>
                <w:kern w:val="0"/>
                <w:szCs w:val="21"/>
              </w:rPr>
            </w:pPr>
            <w:r w:rsidRPr="00BD1E88">
              <w:rPr>
                <w:rFonts w:ascii="楷体_GB2312" w:eastAsia="楷体_GB2312" w:hAnsi="宋体" w:cs="宋体" w:hint="eastAsia"/>
                <w:b/>
                <w:bCs/>
                <w:color w:val="FFFFFF"/>
                <w:kern w:val="0"/>
                <w:szCs w:val="21"/>
              </w:rPr>
              <w:t>2011年2月至2011年1</w:t>
            </w:r>
            <w:r>
              <w:rPr>
                <w:rFonts w:ascii="楷体_GB2312" w:eastAsia="楷体_GB2312" w:hAnsi="宋体" w:cs="宋体" w:hint="eastAsia"/>
                <w:b/>
                <w:bCs/>
                <w:color w:val="FFFFFF"/>
                <w:kern w:val="0"/>
                <w:szCs w:val="21"/>
              </w:rPr>
              <w:t>2</w:t>
            </w:r>
            <w:r w:rsidRPr="00BD1E88">
              <w:rPr>
                <w:rFonts w:ascii="楷体_GB2312" w:eastAsia="楷体_GB2312" w:hAnsi="宋体" w:cs="宋体" w:hint="eastAsia"/>
                <w:b/>
                <w:bCs/>
                <w:color w:val="FFFFFF"/>
                <w:kern w:val="0"/>
                <w:szCs w:val="21"/>
              </w:rPr>
              <w:t>月</w:t>
            </w:r>
          </w:p>
        </w:tc>
        <w:tc>
          <w:tcPr>
            <w:tcW w:w="2143" w:type="pct"/>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248F" w:rsidRPr="00BD1E88" w:rsidRDefault="0092248F" w:rsidP="00254CD8">
            <w:pPr>
              <w:widowControl/>
              <w:jc w:val="center"/>
              <w:rPr>
                <w:rFonts w:ascii="楷体_GB2312" w:eastAsia="楷体_GB2312" w:hAnsi="宋体" w:cs="宋体"/>
                <w:b/>
                <w:bCs/>
                <w:color w:val="FFFFFF"/>
                <w:kern w:val="0"/>
                <w:szCs w:val="21"/>
              </w:rPr>
            </w:pPr>
          </w:p>
        </w:tc>
      </w:tr>
      <w:tr w:rsidR="0092248F" w:rsidRPr="00BD1E88" w:rsidTr="0092248F">
        <w:trPr>
          <w:trHeight w:val="300"/>
        </w:trPr>
        <w:tc>
          <w:tcPr>
            <w:tcW w:w="714" w:type="pct"/>
            <w:vMerge/>
            <w:tcBorders>
              <w:top w:val="nil"/>
              <w:left w:val="single" w:sz="8" w:space="0" w:color="auto"/>
              <w:bottom w:val="single" w:sz="8" w:space="0" w:color="000000"/>
              <w:right w:val="single" w:sz="8" w:space="0" w:color="auto"/>
            </w:tcBorders>
            <w:vAlign w:val="center"/>
            <w:hideMark/>
          </w:tcPr>
          <w:p w:rsidR="0092248F" w:rsidRPr="00BD1E88" w:rsidRDefault="0092248F" w:rsidP="00254CD8">
            <w:pPr>
              <w:widowControl/>
              <w:jc w:val="left"/>
              <w:rPr>
                <w:rFonts w:ascii="楷体_GB2312" w:eastAsia="楷体_GB2312" w:hAnsi="宋体" w:cs="宋体"/>
                <w:b/>
                <w:bCs/>
                <w:color w:val="FFFFFF"/>
                <w:kern w:val="0"/>
                <w:szCs w:val="21"/>
              </w:rPr>
            </w:pPr>
          </w:p>
        </w:tc>
        <w:tc>
          <w:tcPr>
            <w:tcW w:w="714" w:type="pct"/>
            <w:tcBorders>
              <w:top w:val="nil"/>
              <w:left w:val="nil"/>
              <w:bottom w:val="single" w:sz="8" w:space="0" w:color="auto"/>
              <w:right w:val="single" w:sz="8" w:space="0" w:color="auto"/>
            </w:tcBorders>
            <w:shd w:val="clear" w:color="000000" w:fill="FFCC00"/>
            <w:noWrap/>
            <w:hideMark/>
          </w:tcPr>
          <w:p w:rsidR="0092248F" w:rsidRPr="00BD1E88" w:rsidRDefault="0092248F" w:rsidP="00254CD8">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组合业绩</w:t>
            </w:r>
          </w:p>
        </w:tc>
        <w:tc>
          <w:tcPr>
            <w:tcW w:w="714" w:type="pct"/>
            <w:tcBorders>
              <w:top w:val="nil"/>
              <w:left w:val="nil"/>
              <w:bottom w:val="single" w:sz="8" w:space="0" w:color="auto"/>
              <w:right w:val="single" w:sz="8" w:space="0" w:color="auto"/>
            </w:tcBorders>
            <w:shd w:val="clear" w:color="000000" w:fill="FFCC00"/>
            <w:noWrap/>
            <w:hideMark/>
          </w:tcPr>
          <w:p w:rsidR="0092248F" w:rsidRPr="00BD1E88" w:rsidRDefault="0092248F" w:rsidP="00254CD8">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基准业绩</w:t>
            </w:r>
          </w:p>
        </w:tc>
        <w:tc>
          <w:tcPr>
            <w:tcW w:w="715" w:type="pct"/>
            <w:tcBorders>
              <w:top w:val="nil"/>
              <w:left w:val="nil"/>
              <w:bottom w:val="single" w:sz="8" w:space="0" w:color="auto"/>
              <w:right w:val="single" w:sz="8" w:space="0" w:color="auto"/>
            </w:tcBorders>
            <w:shd w:val="clear" w:color="000000" w:fill="FFCC00"/>
            <w:noWrap/>
            <w:hideMark/>
          </w:tcPr>
          <w:p w:rsidR="0092248F" w:rsidRPr="00BD1E88" w:rsidRDefault="0092248F" w:rsidP="00254CD8">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超越基准</w:t>
            </w:r>
          </w:p>
        </w:tc>
        <w:tc>
          <w:tcPr>
            <w:tcW w:w="2143" w:type="pct"/>
            <w:gridSpan w:val="3"/>
            <w:vMerge/>
            <w:tcBorders>
              <w:left w:val="nil"/>
              <w:bottom w:val="single" w:sz="8" w:space="0" w:color="auto"/>
              <w:right w:val="single" w:sz="8" w:space="0" w:color="auto"/>
            </w:tcBorders>
            <w:shd w:val="clear" w:color="auto" w:fill="auto"/>
            <w:noWrap/>
            <w:hideMark/>
          </w:tcPr>
          <w:p w:rsidR="0092248F" w:rsidRPr="00BD1E88" w:rsidRDefault="0092248F" w:rsidP="00254CD8">
            <w:pPr>
              <w:widowControl/>
              <w:jc w:val="center"/>
              <w:rPr>
                <w:rFonts w:ascii="楷体_GB2312" w:eastAsia="楷体_GB2312" w:hAnsi="宋体" w:cs="宋体"/>
                <w:color w:val="000000"/>
                <w:kern w:val="0"/>
                <w:szCs w:val="21"/>
              </w:rPr>
            </w:pPr>
          </w:p>
        </w:tc>
      </w:tr>
      <w:tr w:rsidR="0092248F" w:rsidRPr="007E4F1C" w:rsidTr="0092248F">
        <w:trPr>
          <w:trHeight w:val="315"/>
        </w:trPr>
        <w:tc>
          <w:tcPr>
            <w:tcW w:w="714" w:type="pct"/>
            <w:tcBorders>
              <w:top w:val="nil"/>
              <w:left w:val="single" w:sz="8" w:space="0" w:color="auto"/>
              <w:bottom w:val="single" w:sz="8" w:space="0" w:color="auto"/>
              <w:right w:val="single" w:sz="8" w:space="0" w:color="auto"/>
            </w:tcBorders>
            <w:shd w:val="clear" w:color="000000" w:fill="CCFFCC"/>
            <w:vAlign w:val="bottom"/>
            <w:hideMark/>
          </w:tcPr>
          <w:p w:rsidR="0092248F" w:rsidRPr="00BD1E88" w:rsidRDefault="0092248F" w:rsidP="00254CD8">
            <w:pPr>
              <w:widowControl/>
              <w:jc w:val="center"/>
              <w:rPr>
                <w:rFonts w:ascii="楷体_GB2312" w:eastAsia="楷体_GB2312" w:hAnsi="宋体" w:cs="宋体"/>
                <w:b/>
                <w:bCs/>
                <w:color w:val="000000"/>
                <w:kern w:val="0"/>
                <w:szCs w:val="21"/>
              </w:rPr>
            </w:pPr>
            <w:r w:rsidRPr="00BD1E88">
              <w:rPr>
                <w:rFonts w:ascii="楷体_GB2312" w:eastAsia="楷体_GB2312" w:hAnsi="宋体" w:cs="宋体" w:hint="eastAsia"/>
                <w:b/>
                <w:bCs/>
                <w:color w:val="000000"/>
                <w:kern w:val="0"/>
                <w:szCs w:val="21"/>
              </w:rPr>
              <w:t>积极型</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FF0000"/>
                <w:szCs w:val="21"/>
              </w:rPr>
              <w:t>-14.96%</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FF0000"/>
                <w:szCs w:val="21"/>
              </w:rPr>
              <w:t>-19.25%</w:t>
            </w:r>
          </w:p>
        </w:tc>
        <w:tc>
          <w:tcPr>
            <w:tcW w:w="715" w:type="pct"/>
            <w:tcBorders>
              <w:top w:val="nil"/>
              <w:left w:val="nil"/>
              <w:bottom w:val="single" w:sz="8" w:space="0" w:color="auto"/>
              <w:right w:val="single" w:sz="8" w:space="0" w:color="auto"/>
            </w:tcBorders>
            <w:shd w:val="clear" w:color="auto" w:fill="auto"/>
            <w:noWrap/>
            <w:hideMark/>
          </w:tcPr>
          <w:p w:rsidR="0092248F" w:rsidRPr="007E4F1C" w:rsidRDefault="0092248F" w:rsidP="00254CD8">
            <w:pPr>
              <w:jc w:val="center"/>
              <w:rPr>
                <w:b/>
                <w:i/>
                <w:color w:val="0D0D0D"/>
                <w:szCs w:val="21"/>
              </w:rPr>
            </w:pPr>
            <w:r w:rsidRPr="007E4F1C">
              <w:rPr>
                <w:b/>
                <w:i/>
                <w:color w:val="0D0D0D"/>
                <w:szCs w:val="21"/>
              </w:rPr>
              <w:t>4.29%</w:t>
            </w:r>
          </w:p>
        </w:tc>
        <w:tc>
          <w:tcPr>
            <w:tcW w:w="2143" w:type="pct"/>
            <w:gridSpan w:val="3"/>
            <w:vMerge/>
            <w:tcBorders>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b/>
                <w:i/>
                <w:color w:val="0D0D0D"/>
                <w:szCs w:val="21"/>
              </w:rPr>
            </w:pPr>
          </w:p>
        </w:tc>
      </w:tr>
      <w:tr w:rsidR="0092248F" w:rsidRPr="007E4F1C" w:rsidTr="0092248F">
        <w:trPr>
          <w:trHeight w:val="315"/>
        </w:trPr>
        <w:tc>
          <w:tcPr>
            <w:tcW w:w="714" w:type="pct"/>
            <w:tcBorders>
              <w:top w:val="nil"/>
              <w:left w:val="single" w:sz="8" w:space="0" w:color="auto"/>
              <w:bottom w:val="single" w:sz="8" w:space="0" w:color="auto"/>
              <w:right w:val="single" w:sz="8" w:space="0" w:color="auto"/>
            </w:tcBorders>
            <w:shd w:val="clear" w:color="000000" w:fill="CCFFCC"/>
            <w:vAlign w:val="bottom"/>
            <w:hideMark/>
          </w:tcPr>
          <w:p w:rsidR="0092248F" w:rsidRPr="00BD1E88" w:rsidRDefault="0092248F" w:rsidP="00254CD8">
            <w:pPr>
              <w:widowControl/>
              <w:jc w:val="center"/>
              <w:rPr>
                <w:rFonts w:ascii="楷体_GB2312" w:eastAsia="楷体_GB2312" w:hAnsi="宋体" w:cs="宋体"/>
                <w:b/>
                <w:bCs/>
                <w:color w:val="000000"/>
                <w:kern w:val="0"/>
                <w:szCs w:val="21"/>
              </w:rPr>
            </w:pPr>
            <w:r w:rsidRPr="00BD1E88">
              <w:rPr>
                <w:rFonts w:ascii="楷体_GB2312" w:eastAsia="楷体_GB2312" w:hAnsi="宋体" w:cs="宋体" w:hint="eastAsia"/>
                <w:b/>
                <w:bCs/>
                <w:color w:val="000000"/>
                <w:kern w:val="0"/>
                <w:szCs w:val="21"/>
              </w:rPr>
              <w:t>平衡型</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FF0000"/>
                <w:szCs w:val="21"/>
              </w:rPr>
              <w:t>-6.50%</w:t>
            </w:r>
          </w:p>
        </w:tc>
        <w:tc>
          <w:tcPr>
            <w:tcW w:w="714" w:type="pct"/>
            <w:tcBorders>
              <w:top w:val="nil"/>
              <w:left w:val="nil"/>
              <w:bottom w:val="single" w:sz="4" w:space="0" w:color="auto"/>
              <w:right w:val="single" w:sz="4"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FF0000"/>
                <w:szCs w:val="21"/>
              </w:rPr>
              <w:t>-10.95%</w:t>
            </w:r>
          </w:p>
        </w:tc>
        <w:tc>
          <w:tcPr>
            <w:tcW w:w="715" w:type="pct"/>
            <w:tcBorders>
              <w:top w:val="nil"/>
              <w:left w:val="nil"/>
              <w:bottom w:val="single" w:sz="8" w:space="0" w:color="auto"/>
              <w:right w:val="single" w:sz="8" w:space="0" w:color="auto"/>
            </w:tcBorders>
            <w:shd w:val="clear" w:color="auto" w:fill="auto"/>
            <w:noWrap/>
            <w:hideMark/>
          </w:tcPr>
          <w:p w:rsidR="0092248F" w:rsidRPr="007E4F1C" w:rsidRDefault="0092248F" w:rsidP="00254CD8">
            <w:pPr>
              <w:jc w:val="center"/>
              <w:rPr>
                <w:b/>
                <w:i/>
                <w:color w:val="0D0D0D"/>
                <w:szCs w:val="21"/>
              </w:rPr>
            </w:pPr>
            <w:r w:rsidRPr="007E4F1C">
              <w:rPr>
                <w:b/>
                <w:i/>
                <w:color w:val="0D0D0D"/>
                <w:szCs w:val="21"/>
              </w:rPr>
              <w:t>4.45%</w:t>
            </w:r>
          </w:p>
        </w:tc>
        <w:tc>
          <w:tcPr>
            <w:tcW w:w="2143" w:type="pct"/>
            <w:gridSpan w:val="3"/>
            <w:vMerge/>
            <w:tcBorders>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b/>
                <w:i/>
                <w:color w:val="0D0D0D"/>
                <w:szCs w:val="21"/>
              </w:rPr>
            </w:pPr>
          </w:p>
        </w:tc>
      </w:tr>
      <w:tr w:rsidR="0092248F" w:rsidRPr="007E4F1C" w:rsidTr="0092248F">
        <w:trPr>
          <w:trHeight w:val="315"/>
        </w:trPr>
        <w:tc>
          <w:tcPr>
            <w:tcW w:w="714" w:type="pct"/>
            <w:tcBorders>
              <w:top w:val="nil"/>
              <w:left w:val="single" w:sz="8" w:space="0" w:color="auto"/>
              <w:bottom w:val="single" w:sz="8" w:space="0" w:color="auto"/>
              <w:right w:val="single" w:sz="8" w:space="0" w:color="auto"/>
            </w:tcBorders>
            <w:shd w:val="clear" w:color="000000" w:fill="CCFFCC"/>
            <w:vAlign w:val="bottom"/>
            <w:hideMark/>
          </w:tcPr>
          <w:p w:rsidR="0092248F" w:rsidRPr="00BD1E88" w:rsidRDefault="0092248F" w:rsidP="00254CD8">
            <w:pPr>
              <w:widowControl/>
              <w:jc w:val="center"/>
              <w:rPr>
                <w:rFonts w:ascii="楷体_GB2312" w:eastAsia="楷体_GB2312" w:hAnsi="宋体" w:cs="宋体"/>
                <w:b/>
                <w:bCs/>
                <w:color w:val="000000"/>
                <w:kern w:val="0"/>
                <w:szCs w:val="21"/>
              </w:rPr>
            </w:pPr>
            <w:r w:rsidRPr="00BD1E88">
              <w:rPr>
                <w:rFonts w:ascii="楷体_GB2312" w:eastAsia="楷体_GB2312" w:hAnsi="宋体" w:cs="宋体" w:hint="eastAsia"/>
                <w:b/>
                <w:bCs/>
                <w:color w:val="000000"/>
                <w:kern w:val="0"/>
                <w:szCs w:val="21"/>
              </w:rPr>
              <w:t>稳健型</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0D0D0D"/>
                <w:szCs w:val="21"/>
              </w:rPr>
              <w:t>3.24%</w:t>
            </w:r>
          </w:p>
        </w:tc>
        <w:tc>
          <w:tcPr>
            <w:tcW w:w="714" w:type="pct"/>
            <w:tcBorders>
              <w:top w:val="nil"/>
              <w:left w:val="nil"/>
              <w:bottom w:val="single" w:sz="4" w:space="0" w:color="auto"/>
              <w:right w:val="single" w:sz="4"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0D0D0D"/>
                <w:szCs w:val="21"/>
              </w:rPr>
              <w:t>3.18%</w:t>
            </w:r>
          </w:p>
        </w:tc>
        <w:tc>
          <w:tcPr>
            <w:tcW w:w="715" w:type="pct"/>
            <w:tcBorders>
              <w:top w:val="nil"/>
              <w:left w:val="nil"/>
              <w:bottom w:val="single" w:sz="8" w:space="0" w:color="auto"/>
              <w:right w:val="single" w:sz="8" w:space="0" w:color="auto"/>
            </w:tcBorders>
            <w:shd w:val="clear" w:color="auto" w:fill="auto"/>
            <w:noWrap/>
            <w:hideMark/>
          </w:tcPr>
          <w:p w:rsidR="0092248F" w:rsidRPr="007E4F1C" w:rsidRDefault="0092248F" w:rsidP="00254CD8">
            <w:pPr>
              <w:jc w:val="center"/>
              <w:rPr>
                <w:b/>
                <w:i/>
                <w:color w:val="0D0D0D"/>
                <w:szCs w:val="21"/>
              </w:rPr>
            </w:pPr>
            <w:r w:rsidRPr="007E4F1C">
              <w:rPr>
                <w:b/>
                <w:i/>
                <w:color w:val="0D0D0D"/>
                <w:szCs w:val="21"/>
              </w:rPr>
              <w:t>0.06%</w:t>
            </w:r>
          </w:p>
        </w:tc>
        <w:tc>
          <w:tcPr>
            <w:tcW w:w="2143" w:type="pct"/>
            <w:gridSpan w:val="3"/>
            <w:vMerge/>
            <w:tcBorders>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b/>
                <w:i/>
                <w:color w:val="0D0D0D"/>
                <w:szCs w:val="21"/>
              </w:rPr>
            </w:pPr>
          </w:p>
        </w:tc>
      </w:tr>
    </w:tbl>
    <w:p w:rsidR="008E0A57" w:rsidRDefault="008E0A57" w:rsidP="008E0A57">
      <w:pPr>
        <w:keepLines/>
        <w:adjustRightInd w:val="0"/>
        <w:snapToGrid w:val="0"/>
        <w:jc w:val="left"/>
        <w:rPr>
          <w:rFonts w:ascii="楷体_GB2312" w:eastAsia="楷体_GB2312"/>
          <w:noProof/>
        </w:rPr>
      </w:pPr>
      <w:r>
        <w:rPr>
          <w:rFonts w:ascii="楷体_GB2312" w:eastAsia="楷体_GB2312" w:hint="eastAsia"/>
          <w:noProof/>
        </w:rPr>
        <w:t>注：数据截至</w:t>
      </w:r>
      <w:r w:rsidRPr="00CD771C">
        <w:rPr>
          <w:rFonts w:ascii="楷体_GB2312" w:eastAsia="楷体_GB2312" w:hint="eastAsia"/>
          <w:noProof/>
        </w:rPr>
        <w:t>201</w:t>
      </w:r>
      <w:r w:rsidR="00C33FBF">
        <w:rPr>
          <w:rFonts w:ascii="楷体_GB2312" w:eastAsia="楷体_GB2312" w:hint="eastAsia"/>
          <w:noProof/>
        </w:rPr>
        <w:t>4</w:t>
      </w:r>
      <w:r w:rsidRPr="00CD771C">
        <w:rPr>
          <w:rFonts w:ascii="楷体_GB2312" w:eastAsia="楷体_GB2312" w:hint="eastAsia"/>
          <w:noProof/>
        </w:rPr>
        <w:t>年</w:t>
      </w:r>
      <w:r w:rsidR="002A6E97">
        <w:rPr>
          <w:rFonts w:ascii="楷体_GB2312" w:eastAsia="楷体_GB2312" w:hint="eastAsia"/>
          <w:noProof/>
        </w:rPr>
        <w:t>2</w:t>
      </w:r>
      <w:r w:rsidRPr="00CD771C">
        <w:rPr>
          <w:rFonts w:ascii="楷体_GB2312" w:eastAsia="楷体_GB2312" w:hint="eastAsia"/>
          <w:noProof/>
        </w:rPr>
        <w:t>月</w:t>
      </w:r>
      <w:r w:rsidR="002A6E97">
        <w:rPr>
          <w:rFonts w:ascii="楷体_GB2312" w:eastAsia="楷体_GB2312" w:hint="eastAsia"/>
          <w:noProof/>
        </w:rPr>
        <w:t>28</w:t>
      </w:r>
      <w:r w:rsidRPr="00CD771C">
        <w:rPr>
          <w:rFonts w:ascii="楷体_GB2312" w:eastAsia="楷体_GB2312" w:hint="eastAsia"/>
          <w:noProof/>
        </w:rPr>
        <w:t>日</w:t>
      </w:r>
      <w:r>
        <w:rPr>
          <w:rFonts w:ascii="楷体_GB2312" w:eastAsia="楷体_GB2312" w:hint="eastAsia"/>
          <w:noProof/>
        </w:rPr>
        <w:t>,组合于2011年2月</w:t>
      </w:r>
      <w:r w:rsidR="002A6E97">
        <w:rPr>
          <w:rFonts w:ascii="楷体_GB2312" w:eastAsia="楷体_GB2312" w:hint="eastAsia"/>
          <w:noProof/>
        </w:rPr>
        <w:t>1日</w:t>
      </w:r>
      <w:r>
        <w:rPr>
          <w:rFonts w:ascii="楷体_GB2312" w:eastAsia="楷体_GB2312" w:hint="eastAsia"/>
          <w:noProof/>
        </w:rPr>
        <w:t>设立。</w:t>
      </w:r>
    </w:p>
    <w:p w:rsidR="008E0A57" w:rsidRPr="003D06B4" w:rsidRDefault="008E0A57" w:rsidP="008E0A57">
      <w:pPr>
        <w:rPr>
          <w:rFonts w:ascii="楷体_GB2312" w:eastAsia="楷体_GB2312"/>
          <w:b/>
          <w:noProof/>
        </w:rPr>
      </w:pPr>
      <w:r>
        <w:rPr>
          <w:rFonts w:ascii="楷体_GB2312" w:eastAsia="楷体_GB2312" w:hint="eastAsia"/>
          <w:b/>
          <w:noProof/>
        </w:rPr>
        <w:t>上海证券基金推荐组合</w:t>
      </w:r>
      <w:r w:rsidRPr="003D06B4">
        <w:rPr>
          <w:rFonts w:ascii="楷体_GB2312" w:eastAsia="楷体_GB2312" w:hint="eastAsia"/>
          <w:b/>
          <w:noProof/>
        </w:rPr>
        <w:t>业绩比较基准</w:t>
      </w:r>
      <w:r>
        <w:rPr>
          <w:rFonts w:ascii="楷体_GB2312" w:eastAsia="楷体_GB2312" w:hint="eastAsia"/>
          <w:b/>
          <w:noProof/>
        </w:rPr>
        <w:t>：</w:t>
      </w:r>
    </w:p>
    <w:p w:rsidR="008E0A57" w:rsidRPr="00960590" w:rsidRDefault="008E0A57" w:rsidP="008E0A57">
      <w:pPr>
        <w:rPr>
          <w:rFonts w:ascii="楷体_GB2312" w:eastAsia="楷体_GB2312"/>
          <w:noProof/>
        </w:rPr>
      </w:pPr>
      <w:r w:rsidRPr="00960590">
        <w:rPr>
          <w:rFonts w:ascii="楷体_GB2312" w:eastAsia="楷体_GB2312" w:hint="eastAsia"/>
          <w:noProof/>
        </w:rPr>
        <w:t>积极型组合</w:t>
      </w:r>
      <w:r>
        <w:rPr>
          <w:rFonts w:ascii="楷体_GB2312" w:eastAsia="楷体_GB2312" w:hint="eastAsia"/>
          <w:noProof/>
        </w:rPr>
        <w:t>：</w:t>
      </w:r>
      <w:r w:rsidRPr="00960590">
        <w:rPr>
          <w:rFonts w:ascii="楷体_GB2312" w:eastAsia="楷体_GB2312" w:hint="eastAsia"/>
          <w:noProof/>
        </w:rPr>
        <w:t>主动投资偏股型基金整体</w:t>
      </w:r>
      <w:r>
        <w:rPr>
          <w:rFonts w:ascii="楷体_GB2312" w:eastAsia="楷体_GB2312" w:hint="eastAsia"/>
          <w:noProof/>
        </w:rPr>
        <w:t>（包括当月仍然处于建仓期的基金，以下同）</w:t>
      </w:r>
      <w:r w:rsidRPr="00960590">
        <w:rPr>
          <w:rFonts w:ascii="楷体_GB2312" w:eastAsia="楷体_GB2312" w:hint="eastAsia"/>
          <w:noProof/>
        </w:rPr>
        <w:t>；</w:t>
      </w:r>
    </w:p>
    <w:p w:rsidR="008E0A57" w:rsidRPr="00960590" w:rsidRDefault="008E0A57" w:rsidP="008E0A57">
      <w:pPr>
        <w:rPr>
          <w:rFonts w:ascii="楷体_GB2312" w:eastAsia="楷体_GB2312"/>
          <w:noProof/>
        </w:rPr>
      </w:pPr>
      <w:r w:rsidRPr="00960590">
        <w:rPr>
          <w:rFonts w:ascii="楷体_GB2312" w:eastAsia="楷体_GB2312" w:hint="eastAsia"/>
          <w:noProof/>
        </w:rPr>
        <w:t>平衡型</w:t>
      </w:r>
      <w:r>
        <w:rPr>
          <w:rFonts w:ascii="楷体_GB2312" w:eastAsia="楷体_GB2312" w:hint="eastAsia"/>
          <w:noProof/>
        </w:rPr>
        <w:t>组合：</w:t>
      </w:r>
      <w:r w:rsidRPr="00960590">
        <w:rPr>
          <w:rFonts w:ascii="楷体_GB2312" w:eastAsia="楷体_GB2312" w:hint="eastAsia"/>
          <w:noProof/>
        </w:rPr>
        <w:t>50%主动投资偏股型基金+50%债券型基金；</w:t>
      </w:r>
    </w:p>
    <w:p w:rsidR="008E0A57" w:rsidRDefault="008E0A57" w:rsidP="008E0A57">
      <w:pPr>
        <w:rPr>
          <w:rFonts w:ascii="楷体_GB2312" w:eastAsia="楷体_GB2312"/>
          <w:noProof/>
        </w:rPr>
      </w:pPr>
      <w:r w:rsidRPr="00960590">
        <w:rPr>
          <w:rFonts w:ascii="楷体_GB2312" w:eastAsia="楷体_GB2312" w:hint="eastAsia"/>
          <w:noProof/>
        </w:rPr>
        <w:t>稳健型</w:t>
      </w:r>
      <w:r>
        <w:rPr>
          <w:rFonts w:ascii="楷体_GB2312" w:eastAsia="楷体_GB2312" w:hint="eastAsia"/>
          <w:noProof/>
        </w:rPr>
        <w:t>组合：</w:t>
      </w:r>
      <w:r w:rsidRPr="00960590">
        <w:rPr>
          <w:rFonts w:ascii="楷体_GB2312" w:eastAsia="楷体_GB2312" w:hint="eastAsia"/>
          <w:noProof/>
        </w:rPr>
        <w:t>一年定期存款利率</w:t>
      </w:r>
      <w:r>
        <w:rPr>
          <w:rFonts w:ascii="楷体_GB2312" w:eastAsia="楷体_GB2312" w:hint="eastAsia"/>
          <w:noProof/>
        </w:rPr>
        <w:t>。</w:t>
      </w:r>
    </w:p>
    <w:p w:rsidR="0067696A" w:rsidRDefault="0067696A" w:rsidP="008E0A57">
      <w:pPr>
        <w:rPr>
          <w:rFonts w:ascii="楷体_GB2312" w:eastAsia="楷体_GB2312"/>
          <w:noProof/>
        </w:rPr>
      </w:pPr>
    </w:p>
    <w:p w:rsidR="008E0A57" w:rsidRPr="00144B03" w:rsidRDefault="008E0A57" w:rsidP="0067696A">
      <w:pPr>
        <w:keepNext/>
        <w:keepLines/>
        <w:spacing w:line="360" w:lineRule="auto"/>
        <w:jc w:val="center"/>
        <w:rPr>
          <w:rFonts w:ascii="楷体_GB2312" w:eastAsia="楷体_GB2312"/>
          <w:b/>
          <w:color w:val="000000"/>
          <w:sz w:val="18"/>
          <w:szCs w:val="18"/>
        </w:rPr>
      </w:pPr>
      <w:r w:rsidRPr="00144B03">
        <w:rPr>
          <w:rFonts w:ascii="楷体_GB2312" w:eastAsia="楷体_GB2312" w:hint="eastAsia"/>
          <w:b/>
          <w:color w:val="000000"/>
          <w:sz w:val="18"/>
          <w:szCs w:val="18"/>
        </w:rPr>
        <w:lastRenderedPageBreak/>
        <w:t>图</w:t>
      </w:r>
      <w:r w:rsidR="00634E6C">
        <w:rPr>
          <w:rFonts w:ascii="楷体_GB2312" w:eastAsia="楷体_GB2312" w:hint="eastAsia"/>
          <w:b/>
          <w:color w:val="000000"/>
          <w:sz w:val="18"/>
          <w:szCs w:val="18"/>
        </w:rPr>
        <w:t>16</w:t>
      </w:r>
      <w:r w:rsidRPr="00144B03">
        <w:rPr>
          <w:rFonts w:ascii="楷体_GB2312" w:eastAsia="楷体_GB2312" w:hint="eastAsia"/>
          <w:b/>
          <w:color w:val="000000"/>
          <w:sz w:val="18"/>
          <w:szCs w:val="18"/>
        </w:rPr>
        <w:t xml:space="preserve">  上海证券积极型基金组合累计</w:t>
      </w:r>
      <w:r w:rsidR="00DF138F" w:rsidRPr="00144B03">
        <w:rPr>
          <w:rFonts w:ascii="楷体_GB2312" w:eastAsia="楷体_GB2312" w:hint="eastAsia"/>
          <w:b/>
          <w:color w:val="000000"/>
          <w:sz w:val="18"/>
          <w:szCs w:val="18"/>
        </w:rPr>
        <w:t>收益</w:t>
      </w:r>
      <w:r w:rsidRPr="00144B03">
        <w:rPr>
          <w:rFonts w:ascii="楷体_GB2312" w:eastAsia="楷体_GB2312" w:hint="eastAsia"/>
          <w:b/>
          <w:color w:val="000000"/>
          <w:sz w:val="18"/>
          <w:szCs w:val="18"/>
        </w:rPr>
        <w:t>图</w:t>
      </w:r>
    </w:p>
    <w:p w:rsidR="008E0A57" w:rsidRDefault="009768DB" w:rsidP="0067696A">
      <w:pPr>
        <w:keepNext/>
        <w:keepLines/>
        <w:jc w:val="center"/>
      </w:pPr>
      <w:r w:rsidRPr="009768DB">
        <w:rPr>
          <w:noProof/>
        </w:rPr>
        <w:drawing>
          <wp:inline distT="0" distB="0" distL="0" distR="0">
            <wp:extent cx="5120640" cy="2067560"/>
            <wp:effectExtent l="19050" t="0" r="3810" b="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8" cstate="print"/>
                    <a:srcRect/>
                    <a:stretch>
                      <a:fillRect/>
                    </a:stretch>
                  </pic:blipFill>
                  <pic:spPr bwMode="auto">
                    <a:xfrm>
                      <a:off x="0" y="0"/>
                      <a:ext cx="5120640" cy="2067560"/>
                    </a:xfrm>
                    <a:prstGeom prst="rect">
                      <a:avLst/>
                    </a:prstGeom>
                    <a:noFill/>
                    <a:ln w="9525">
                      <a:noFill/>
                      <a:miter lim="800000"/>
                      <a:headEnd/>
                      <a:tailEnd/>
                    </a:ln>
                  </pic:spPr>
                </pic:pic>
              </a:graphicData>
            </a:graphic>
          </wp:inline>
        </w:drawing>
      </w:r>
    </w:p>
    <w:p w:rsidR="008E0A57" w:rsidRDefault="008E0A57" w:rsidP="0067696A">
      <w:pPr>
        <w:keepNext/>
        <w:keepLines/>
        <w:ind w:leftChars="1350" w:left="2835" w:firstLine="420"/>
        <w:rPr>
          <w:rFonts w:ascii="楷体_GB2312" w:eastAsia="楷体_GB2312"/>
          <w:b/>
          <w:color w:val="000000"/>
        </w:rPr>
      </w:pPr>
    </w:p>
    <w:p w:rsidR="008E0A57" w:rsidRPr="00144B03" w:rsidRDefault="008E0A57" w:rsidP="0067696A">
      <w:pPr>
        <w:keepNext/>
        <w:keepLines/>
        <w:spacing w:line="360" w:lineRule="auto"/>
        <w:jc w:val="center"/>
        <w:rPr>
          <w:rFonts w:ascii="楷体_GB2312" w:eastAsia="楷体_GB2312"/>
          <w:b/>
          <w:color w:val="000000"/>
          <w:sz w:val="18"/>
          <w:szCs w:val="18"/>
        </w:rPr>
      </w:pPr>
      <w:r w:rsidRPr="00144B03">
        <w:rPr>
          <w:rFonts w:ascii="楷体_GB2312" w:eastAsia="楷体_GB2312" w:hint="eastAsia"/>
          <w:b/>
          <w:color w:val="000000"/>
          <w:sz w:val="18"/>
          <w:szCs w:val="18"/>
        </w:rPr>
        <w:t>图</w:t>
      </w:r>
      <w:r w:rsidR="00634E6C">
        <w:rPr>
          <w:rFonts w:ascii="楷体_GB2312" w:eastAsia="楷体_GB2312" w:hint="eastAsia"/>
          <w:b/>
          <w:color w:val="000000"/>
          <w:sz w:val="18"/>
          <w:szCs w:val="18"/>
        </w:rPr>
        <w:t>17</w:t>
      </w:r>
      <w:r w:rsidRPr="00144B03">
        <w:rPr>
          <w:rFonts w:ascii="楷体_GB2312" w:eastAsia="楷体_GB2312" w:hint="eastAsia"/>
          <w:b/>
          <w:color w:val="000000"/>
          <w:sz w:val="18"/>
          <w:szCs w:val="18"/>
        </w:rPr>
        <w:t xml:space="preserve">  上海证券平衡型基金组合累计</w:t>
      </w:r>
      <w:r w:rsidR="00177718" w:rsidRPr="00144B03">
        <w:rPr>
          <w:rFonts w:ascii="楷体_GB2312" w:eastAsia="楷体_GB2312" w:hint="eastAsia"/>
          <w:b/>
          <w:color w:val="000000"/>
          <w:sz w:val="18"/>
          <w:szCs w:val="18"/>
        </w:rPr>
        <w:t>收益</w:t>
      </w:r>
      <w:r w:rsidRPr="00144B03">
        <w:rPr>
          <w:rFonts w:ascii="楷体_GB2312" w:eastAsia="楷体_GB2312" w:hint="eastAsia"/>
          <w:b/>
          <w:color w:val="000000"/>
          <w:sz w:val="18"/>
          <w:szCs w:val="18"/>
        </w:rPr>
        <w:t>图</w:t>
      </w:r>
    </w:p>
    <w:p w:rsidR="008E0A57" w:rsidRDefault="009768DB" w:rsidP="0067696A">
      <w:pPr>
        <w:keepNext/>
        <w:keepLines/>
        <w:jc w:val="center"/>
        <w:rPr>
          <w:rFonts w:ascii="楷体_GB2312" w:eastAsia="楷体_GB2312"/>
          <w:noProof/>
        </w:rPr>
      </w:pPr>
      <w:r w:rsidRPr="009768DB">
        <w:rPr>
          <w:noProof/>
        </w:rPr>
        <w:drawing>
          <wp:inline distT="0" distB="0" distL="0" distR="0">
            <wp:extent cx="5120640" cy="2067560"/>
            <wp:effectExtent l="19050" t="0" r="3810" b="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9" cstate="print"/>
                    <a:srcRect/>
                    <a:stretch>
                      <a:fillRect/>
                    </a:stretch>
                  </pic:blipFill>
                  <pic:spPr bwMode="auto">
                    <a:xfrm>
                      <a:off x="0" y="0"/>
                      <a:ext cx="5120640" cy="2067560"/>
                    </a:xfrm>
                    <a:prstGeom prst="rect">
                      <a:avLst/>
                    </a:prstGeom>
                    <a:noFill/>
                    <a:ln w="9525">
                      <a:noFill/>
                      <a:miter lim="800000"/>
                      <a:headEnd/>
                      <a:tailEnd/>
                    </a:ln>
                  </pic:spPr>
                </pic:pic>
              </a:graphicData>
            </a:graphic>
          </wp:inline>
        </w:drawing>
      </w:r>
    </w:p>
    <w:p w:rsidR="009908B0" w:rsidRDefault="009908B0" w:rsidP="0067696A">
      <w:pPr>
        <w:keepNext/>
        <w:keepLines/>
        <w:ind w:leftChars="1350" w:left="2835" w:firstLine="420"/>
        <w:rPr>
          <w:rFonts w:ascii="楷体_GB2312" w:eastAsia="楷体_GB2312"/>
          <w:b/>
          <w:color w:val="000000"/>
        </w:rPr>
      </w:pPr>
    </w:p>
    <w:p w:rsidR="008E0A57" w:rsidRPr="00144B03" w:rsidRDefault="008E0A57" w:rsidP="0067696A">
      <w:pPr>
        <w:keepNext/>
        <w:keepLines/>
        <w:spacing w:line="360" w:lineRule="auto"/>
        <w:jc w:val="center"/>
        <w:rPr>
          <w:rFonts w:ascii="楷体_GB2312" w:eastAsia="楷体_GB2312"/>
          <w:b/>
          <w:color w:val="000000"/>
          <w:sz w:val="18"/>
          <w:szCs w:val="18"/>
        </w:rPr>
      </w:pPr>
      <w:r w:rsidRPr="00144B03">
        <w:rPr>
          <w:rFonts w:ascii="楷体_GB2312" w:eastAsia="楷体_GB2312" w:hint="eastAsia"/>
          <w:b/>
          <w:color w:val="000000"/>
          <w:sz w:val="18"/>
          <w:szCs w:val="18"/>
        </w:rPr>
        <w:t>图</w:t>
      </w:r>
      <w:r w:rsidR="00634E6C">
        <w:rPr>
          <w:rFonts w:ascii="楷体_GB2312" w:eastAsia="楷体_GB2312" w:hint="eastAsia"/>
          <w:b/>
          <w:color w:val="000000"/>
          <w:sz w:val="18"/>
          <w:szCs w:val="18"/>
        </w:rPr>
        <w:t>18</w:t>
      </w:r>
      <w:r w:rsidRPr="00144B03">
        <w:rPr>
          <w:rFonts w:ascii="楷体_GB2312" w:eastAsia="楷体_GB2312" w:hint="eastAsia"/>
          <w:b/>
          <w:color w:val="000000"/>
          <w:sz w:val="18"/>
          <w:szCs w:val="18"/>
        </w:rPr>
        <w:t xml:space="preserve">  上海证券稳健型基金组合累计</w:t>
      </w:r>
      <w:r w:rsidR="00177718" w:rsidRPr="00144B03">
        <w:rPr>
          <w:rFonts w:ascii="楷体_GB2312" w:eastAsia="楷体_GB2312" w:hint="eastAsia"/>
          <w:b/>
          <w:color w:val="000000"/>
          <w:sz w:val="18"/>
          <w:szCs w:val="18"/>
        </w:rPr>
        <w:t>收益</w:t>
      </w:r>
      <w:r w:rsidRPr="00144B03">
        <w:rPr>
          <w:rFonts w:ascii="楷体_GB2312" w:eastAsia="楷体_GB2312" w:hint="eastAsia"/>
          <w:b/>
          <w:color w:val="000000"/>
          <w:sz w:val="18"/>
          <w:szCs w:val="18"/>
        </w:rPr>
        <w:t>图</w:t>
      </w:r>
    </w:p>
    <w:p w:rsidR="008E0A57" w:rsidRDefault="009768DB" w:rsidP="0067696A">
      <w:pPr>
        <w:keepNext/>
        <w:keepLines/>
        <w:jc w:val="center"/>
        <w:rPr>
          <w:rFonts w:ascii="楷体_GB2312" w:eastAsia="楷体_GB2312"/>
          <w:noProof/>
        </w:rPr>
      </w:pPr>
      <w:r w:rsidRPr="009768DB">
        <w:rPr>
          <w:noProof/>
        </w:rPr>
        <w:drawing>
          <wp:inline distT="0" distB="0" distL="0" distR="0">
            <wp:extent cx="5120640" cy="2067560"/>
            <wp:effectExtent l="19050" t="0" r="3810"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0" cstate="print"/>
                    <a:srcRect/>
                    <a:stretch>
                      <a:fillRect/>
                    </a:stretch>
                  </pic:blipFill>
                  <pic:spPr bwMode="auto">
                    <a:xfrm>
                      <a:off x="0" y="0"/>
                      <a:ext cx="5120640" cy="2067560"/>
                    </a:xfrm>
                    <a:prstGeom prst="rect">
                      <a:avLst/>
                    </a:prstGeom>
                    <a:noFill/>
                    <a:ln w="9525">
                      <a:noFill/>
                      <a:miter lim="800000"/>
                      <a:headEnd/>
                      <a:tailEnd/>
                    </a:ln>
                  </pic:spPr>
                </pic:pic>
              </a:graphicData>
            </a:graphic>
          </wp:inline>
        </w:drawing>
      </w:r>
    </w:p>
    <w:p w:rsidR="003A2393" w:rsidRDefault="003A2393" w:rsidP="00144B03">
      <w:pPr>
        <w:spacing w:line="360" w:lineRule="auto"/>
        <w:jc w:val="center"/>
        <w:rPr>
          <w:rFonts w:ascii="楷体_GB2312" w:eastAsia="楷体_GB2312"/>
          <w:b/>
          <w:color w:val="000000"/>
          <w:sz w:val="18"/>
          <w:szCs w:val="18"/>
        </w:rPr>
      </w:pPr>
    </w:p>
    <w:p w:rsidR="0067696A" w:rsidRDefault="0067696A" w:rsidP="00144B03">
      <w:pPr>
        <w:spacing w:line="360" w:lineRule="auto"/>
        <w:jc w:val="center"/>
        <w:rPr>
          <w:rFonts w:ascii="楷体_GB2312" w:eastAsia="楷体_GB2312"/>
          <w:b/>
          <w:color w:val="000000"/>
          <w:sz w:val="18"/>
          <w:szCs w:val="18"/>
        </w:rPr>
      </w:pPr>
    </w:p>
    <w:p w:rsidR="003A2393" w:rsidRDefault="003A2393" w:rsidP="00144B03">
      <w:pPr>
        <w:spacing w:line="360" w:lineRule="auto"/>
        <w:jc w:val="center"/>
        <w:rPr>
          <w:rFonts w:ascii="楷体_GB2312" w:eastAsia="楷体_GB2312"/>
          <w:b/>
          <w:color w:val="000000"/>
          <w:sz w:val="18"/>
          <w:szCs w:val="18"/>
        </w:rPr>
      </w:pPr>
    </w:p>
    <w:p w:rsidR="00E948C6" w:rsidRPr="00144B03" w:rsidRDefault="00A827A2" w:rsidP="00144B03">
      <w:pPr>
        <w:spacing w:line="360" w:lineRule="auto"/>
        <w:jc w:val="center"/>
        <w:rPr>
          <w:rFonts w:ascii="楷体_GB2312" w:eastAsia="楷体_GB2312"/>
          <w:b/>
          <w:color w:val="000000"/>
          <w:sz w:val="18"/>
          <w:szCs w:val="18"/>
        </w:rPr>
      </w:pPr>
      <w:r w:rsidRPr="00144B03">
        <w:rPr>
          <w:rFonts w:ascii="楷体_GB2312" w:eastAsia="楷体_GB2312" w:hint="eastAsia"/>
          <w:b/>
          <w:color w:val="000000"/>
          <w:sz w:val="18"/>
          <w:szCs w:val="18"/>
        </w:rPr>
        <w:lastRenderedPageBreak/>
        <w:t>表</w:t>
      </w:r>
      <w:r w:rsidR="00634E6C">
        <w:rPr>
          <w:rFonts w:ascii="楷体_GB2312" w:eastAsia="楷体_GB2312" w:hint="eastAsia"/>
          <w:b/>
          <w:color w:val="000000"/>
          <w:sz w:val="18"/>
          <w:szCs w:val="18"/>
        </w:rPr>
        <w:t>4</w:t>
      </w:r>
      <w:r w:rsidR="00080C6C" w:rsidRPr="00144B03">
        <w:rPr>
          <w:rFonts w:ascii="楷体_GB2312" w:eastAsia="楷体_GB2312" w:hint="eastAsia"/>
          <w:b/>
          <w:color w:val="000000"/>
          <w:sz w:val="18"/>
          <w:szCs w:val="18"/>
        </w:rPr>
        <w:t>、</w:t>
      </w:r>
      <w:r w:rsidR="00E948C6" w:rsidRPr="00144B03">
        <w:rPr>
          <w:rFonts w:ascii="楷体_GB2312" w:eastAsia="楷体_GB2312" w:hint="eastAsia"/>
          <w:b/>
          <w:color w:val="000000"/>
          <w:sz w:val="18"/>
          <w:szCs w:val="18"/>
        </w:rPr>
        <w:t>2011年2月以来各月份推荐组合</w:t>
      </w:r>
    </w:p>
    <w:tbl>
      <w:tblPr>
        <w:tblW w:w="8434" w:type="dxa"/>
        <w:jc w:val="center"/>
        <w:tblInd w:w="94" w:type="dxa"/>
        <w:tblLook w:val="04A0"/>
      </w:tblPr>
      <w:tblGrid>
        <w:gridCol w:w="2301"/>
        <w:gridCol w:w="630"/>
        <w:gridCol w:w="222"/>
        <w:gridCol w:w="2372"/>
        <w:gridCol w:w="630"/>
        <w:gridCol w:w="222"/>
        <w:gridCol w:w="1427"/>
        <w:gridCol w:w="630"/>
      </w:tblGrid>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2011年2-3月推荐组合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国富弹性</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光大红利</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工银强债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华商阿尔法</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国富弹性</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光大红利</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工银强债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2011年4-5月推荐组合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国富弹性</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光大红利</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工银强债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国泰纳斯达克100</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国富弹性</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光大红利</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工银强债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2011年6-8月推荐组合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国富弹性</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工银强债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国泰纳斯达克100</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国富弹性</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工银强债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2011年9月推荐组合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富国天成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普天债券A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国泰纳斯达克100</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国富弹性</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普天债券A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2011年10-11月推荐组合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富国天成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普天债券A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大摩资源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国富潜力</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普天债券A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2011年12月推荐组合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富国天成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大摩资源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国富潜力</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2012年1月推荐组合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富国天成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lastRenderedPageBreak/>
              <w:t>大摩资源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广发标普全球农业</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2012年2-4月推荐组合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富国天成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大摩资源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广发全球农业</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2012年5-6月推荐组合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富国天成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南方多利A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大摩资源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国投创新</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南方多利A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2012年7月推荐组合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银河成长</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南方多利A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大摩资源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国投创新</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南方多利A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2012年8-9月推荐组合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nil"/>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nil"/>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nil"/>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nil"/>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银河成长</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nil"/>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nil"/>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南方多利A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大摩资源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nil"/>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nil"/>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00"/>
          <w:jc w:val="center"/>
        </w:trPr>
        <w:tc>
          <w:tcPr>
            <w:tcW w:w="2301" w:type="dxa"/>
            <w:tcBorders>
              <w:top w:val="nil"/>
              <w:left w:val="single" w:sz="8" w:space="0" w:color="auto"/>
              <w:bottom w:val="nil"/>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nil"/>
              <w:left w:val="nil"/>
              <w:bottom w:val="nil"/>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nil"/>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nil"/>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南方多利A</w:t>
            </w:r>
          </w:p>
        </w:tc>
        <w:tc>
          <w:tcPr>
            <w:tcW w:w="630" w:type="dxa"/>
            <w:tcBorders>
              <w:top w:val="single" w:sz="8" w:space="0" w:color="auto"/>
              <w:left w:val="nil"/>
              <w:bottom w:val="nil"/>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nil"/>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nil"/>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nil"/>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2012年10-11月推荐组合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银河成长</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南方多利A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易方达资源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上投新动力</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南方多利A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2012年12月-2013年5月推荐组合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银河成长</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华夏亚债A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易方达资源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上投新动力</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华夏亚债A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2013年6-8月推荐组合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lastRenderedPageBreak/>
              <w:t>银河成长</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华夏亚债A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工银红利</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华夏亚债A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0274E7">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2013年9-1</w:t>
            </w:r>
            <w:r w:rsidR="000274E7">
              <w:rPr>
                <w:rFonts w:ascii="宋体" w:hAnsi="宋体" w:cs="宋体" w:hint="eastAsia"/>
                <w:b/>
                <w:bCs/>
                <w:color w:val="FF0000"/>
                <w:kern w:val="0"/>
                <w:sz w:val="20"/>
                <w:szCs w:val="20"/>
              </w:rPr>
              <w:t>1</w:t>
            </w:r>
            <w:r w:rsidRPr="00224A46">
              <w:rPr>
                <w:rFonts w:ascii="宋体" w:hAnsi="宋体" w:cs="宋体" w:hint="eastAsia"/>
                <w:b/>
                <w:bCs/>
                <w:color w:val="FF0000"/>
                <w:kern w:val="0"/>
                <w:sz w:val="20"/>
                <w:szCs w:val="20"/>
              </w:rPr>
              <w:t>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银河成长</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华安安心</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富国天惠</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华安安心</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2013年11</w:t>
            </w:r>
            <w:r w:rsidR="00CC2337">
              <w:rPr>
                <w:rFonts w:ascii="宋体" w:hAnsi="宋体" w:cs="宋体" w:hint="eastAsia"/>
                <w:b/>
                <w:bCs/>
                <w:color w:val="FF0000"/>
                <w:kern w:val="0"/>
                <w:sz w:val="20"/>
                <w:szCs w:val="20"/>
              </w:rPr>
              <w:t>-12</w:t>
            </w:r>
            <w:r w:rsidRPr="00224A46">
              <w:rPr>
                <w:rFonts w:ascii="宋体" w:hAnsi="宋体" w:cs="宋体" w:hint="eastAsia"/>
                <w:b/>
                <w:bCs/>
                <w:color w:val="FF0000"/>
                <w:kern w:val="0"/>
                <w:sz w:val="20"/>
                <w:szCs w:val="20"/>
              </w:rPr>
              <w:t>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银河成长</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天弘永利B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富国天惠</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天弘永利B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CC2337"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CC2337" w:rsidRPr="00224A46" w:rsidRDefault="00CC2337" w:rsidP="00CC2337">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w:t>
            </w:r>
            <w:r>
              <w:rPr>
                <w:rFonts w:ascii="宋体" w:hAnsi="宋体" w:cs="宋体" w:hint="eastAsia"/>
                <w:b/>
                <w:bCs/>
                <w:color w:val="FF0000"/>
                <w:kern w:val="0"/>
                <w:sz w:val="20"/>
                <w:szCs w:val="20"/>
              </w:rPr>
              <w:t>4</w:t>
            </w:r>
            <w:r w:rsidRPr="00224A46">
              <w:rPr>
                <w:rFonts w:ascii="宋体" w:hAnsi="宋体" w:cs="宋体" w:hint="eastAsia"/>
                <w:b/>
                <w:bCs/>
                <w:color w:val="FF0000"/>
                <w:kern w:val="0"/>
                <w:sz w:val="20"/>
                <w:szCs w:val="20"/>
              </w:rPr>
              <w:t>年</w:t>
            </w:r>
            <w:r>
              <w:rPr>
                <w:rFonts w:ascii="宋体" w:hAnsi="宋体" w:cs="宋体" w:hint="eastAsia"/>
                <w:b/>
                <w:bCs/>
                <w:color w:val="FF0000"/>
                <w:kern w:val="0"/>
                <w:sz w:val="20"/>
                <w:szCs w:val="20"/>
              </w:rPr>
              <w:t>1</w:t>
            </w:r>
            <w:r w:rsidR="00CF5001">
              <w:rPr>
                <w:rFonts w:ascii="宋体" w:hAnsi="宋体" w:cs="宋体" w:hint="eastAsia"/>
                <w:b/>
                <w:bCs/>
                <w:color w:val="FF0000"/>
                <w:kern w:val="0"/>
                <w:sz w:val="20"/>
                <w:szCs w:val="20"/>
              </w:rPr>
              <w:t>-2</w:t>
            </w:r>
            <w:r w:rsidRPr="00224A46">
              <w:rPr>
                <w:rFonts w:ascii="宋体" w:hAnsi="宋体" w:cs="宋体" w:hint="eastAsia"/>
                <w:b/>
                <w:bCs/>
                <w:color w:val="FF0000"/>
                <w:kern w:val="0"/>
                <w:sz w:val="20"/>
                <w:szCs w:val="20"/>
              </w:rPr>
              <w:t>月推荐组合</w:t>
            </w:r>
          </w:p>
        </w:tc>
      </w:tr>
      <w:tr w:rsidR="00CC2337"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CC2337" w:rsidRPr="00224A46" w:rsidRDefault="00CC2337" w:rsidP="001170FF">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CC2337" w:rsidRPr="00224A46" w:rsidRDefault="00CC2337" w:rsidP="001170FF">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CC2337" w:rsidRPr="00224A46" w:rsidRDefault="00CC2337" w:rsidP="001170FF">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CC2337" w:rsidRPr="00224A46" w:rsidRDefault="00CC2337" w:rsidP="001170FF">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CC2337" w:rsidRPr="00224A46" w:rsidRDefault="00CC2337" w:rsidP="001170FF">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CC2337"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CC2337" w:rsidRPr="00224A46" w:rsidRDefault="00CC2337" w:rsidP="001170FF">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CC2337" w:rsidRPr="00224A46" w:rsidRDefault="00CC2337" w:rsidP="001170FF">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CC2337" w:rsidRPr="00224A46" w:rsidRDefault="00CC2337" w:rsidP="001170FF">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CC2337" w:rsidRPr="00224A46" w:rsidRDefault="00CC2337" w:rsidP="001170FF">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CC2337" w:rsidRPr="00224A46" w:rsidRDefault="00CC2337" w:rsidP="001170FF">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CC2337" w:rsidRPr="00224A46" w:rsidRDefault="00CC2337" w:rsidP="001170FF">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CC2337" w:rsidRPr="00224A46" w:rsidRDefault="00CC2337" w:rsidP="001170FF">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CC2337" w:rsidRPr="00224A46" w:rsidRDefault="00CC2337" w:rsidP="001170FF">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CC2337"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银河成长</w:t>
            </w:r>
          </w:p>
        </w:tc>
        <w:tc>
          <w:tcPr>
            <w:tcW w:w="630" w:type="dxa"/>
            <w:tcBorders>
              <w:top w:val="nil"/>
              <w:left w:val="nil"/>
              <w:bottom w:val="single" w:sz="8" w:space="0" w:color="auto"/>
              <w:right w:val="single" w:sz="8" w:space="0" w:color="auto"/>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CC2337" w:rsidRPr="00224A46" w:rsidRDefault="00CC2337" w:rsidP="001170FF">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CC2337" w:rsidRPr="00224A46" w:rsidRDefault="00CC2337" w:rsidP="001170FF">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C2337" w:rsidRDefault="00CC2337">
            <w:pPr>
              <w:jc w:val="center"/>
              <w:rPr>
                <w:rFonts w:ascii="宋体" w:hAnsi="宋体" w:cs="宋体"/>
                <w:sz w:val="18"/>
                <w:szCs w:val="18"/>
              </w:rPr>
            </w:pPr>
            <w:r>
              <w:rPr>
                <w:rFonts w:hint="eastAsia"/>
                <w:sz w:val="18"/>
                <w:szCs w:val="18"/>
              </w:rPr>
              <w:t>建信货币</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CC2337" w:rsidRDefault="00CC2337">
            <w:pPr>
              <w:jc w:val="center"/>
              <w:rPr>
                <w:rFonts w:ascii="宋体" w:hAnsi="宋体" w:cs="宋体"/>
                <w:sz w:val="18"/>
                <w:szCs w:val="18"/>
              </w:rPr>
            </w:pPr>
            <w:r>
              <w:rPr>
                <w:rFonts w:hint="eastAsia"/>
                <w:sz w:val="18"/>
                <w:szCs w:val="18"/>
              </w:rPr>
              <w:t>30%</w:t>
            </w:r>
          </w:p>
        </w:tc>
      </w:tr>
      <w:tr w:rsidR="00CC2337"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nil"/>
              <w:left w:val="nil"/>
              <w:bottom w:val="single" w:sz="8" w:space="0" w:color="auto"/>
              <w:right w:val="single" w:sz="8" w:space="0" w:color="auto"/>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CC2337" w:rsidRPr="00224A46" w:rsidRDefault="00CC2337" w:rsidP="001170FF">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CC2337" w:rsidRPr="00224A46" w:rsidRDefault="00CC2337" w:rsidP="001170FF">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CC2337"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富国天惠</w:t>
            </w:r>
          </w:p>
        </w:tc>
        <w:tc>
          <w:tcPr>
            <w:tcW w:w="630" w:type="dxa"/>
            <w:tcBorders>
              <w:top w:val="nil"/>
              <w:left w:val="nil"/>
              <w:bottom w:val="single" w:sz="8" w:space="0" w:color="auto"/>
              <w:right w:val="single" w:sz="8" w:space="0" w:color="auto"/>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CC2337" w:rsidRPr="00224A46" w:rsidRDefault="00CC2337" w:rsidP="001170FF">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天弘永利B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CC2337" w:rsidRPr="00224A46" w:rsidRDefault="00CC2337" w:rsidP="001170FF">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35%</w:t>
            </w:r>
          </w:p>
        </w:tc>
      </w:tr>
    </w:tbl>
    <w:p w:rsidR="00E948C6" w:rsidRDefault="00E948C6" w:rsidP="00E948C6">
      <w:pPr>
        <w:keepLines/>
        <w:adjustRightInd w:val="0"/>
        <w:snapToGrid w:val="0"/>
        <w:jc w:val="left"/>
        <w:rPr>
          <w:rFonts w:ascii="楷体_GB2312" w:eastAsia="楷体_GB2312"/>
          <w:noProof/>
        </w:rPr>
      </w:pPr>
      <w:r>
        <w:rPr>
          <w:rFonts w:ascii="楷体_GB2312" w:eastAsia="楷体_GB2312" w:hint="eastAsia"/>
          <w:noProof/>
        </w:rPr>
        <w:t>注：数据截至</w:t>
      </w:r>
      <w:r w:rsidRPr="00CD771C">
        <w:rPr>
          <w:rFonts w:ascii="楷体_GB2312" w:eastAsia="楷体_GB2312" w:hint="eastAsia"/>
          <w:noProof/>
        </w:rPr>
        <w:t>201</w:t>
      </w:r>
      <w:r w:rsidR="00BD5DC9">
        <w:rPr>
          <w:rFonts w:ascii="楷体_GB2312" w:eastAsia="楷体_GB2312" w:hint="eastAsia"/>
          <w:noProof/>
        </w:rPr>
        <w:t>4</w:t>
      </w:r>
      <w:r w:rsidRPr="00CD771C">
        <w:rPr>
          <w:rFonts w:ascii="楷体_GB2312" w:eastAsia="楷体_GB2312" w:hint="eastAsia"/>
          <w:noProof/>
        </w:rPr>
        <w:t>年</w:t>
      </w:r>
      <w:r w:rsidR="004D7943">
        <w:rPr>
          <w:rFonts w:ascii="楷体_GB2312" w:eastAsia="楷体_GB2312" w:hint="eastAsia"/>
          <w:noProof/>
        </w:rPr>
        <w:t>2</w:t>
      </w:r>
      <w:r w:rsidRPr="00CD771C">
        <w:rPr>
          <w:rFonts w:ascii="楷体_GB2312" w:eastAsia="楷体_GB2312" w:hint="eastAsia"/>
          <w:noProof/>
        </w:rPr>
        <w:t>月</w:t>
      </w:r>
      <w:r w:rsidR="00EC4546">
        <w:rPr>
          <w:rFonts w:ascii="楷体_GB2312" w:eastAsia="楷体_GB2312" w:hint="eastAsia"/>
          <w:noProof/>
        </w:rPr>
        <w:t>31</w:t>
      </w:r>
      <w:r w:rsidRPr="00CD771C">
        <w:rPr>
          <w:rFonts w:ascii="楷体_GB2312" w:eastAsia="楷体_GB2312" w:hint="eastAsia"/>
          <w:noProof/>
        </w:rPr>
        <w:t>日</w:t>
      </w:r>
      <w:r>
        <w:rPr>
          <w:rFonts w:ascii="楷体_GB2312" w:eastAsia="楷体_GB2312" w:hint="eastAsia"/>
          <w:noProof/>
        </w:rPr>
        <w:t>,组合于2011年2</w:t>
      </w:r>
      <w:r w:rsidR="007475A5">
        <w:rPr>
          <w:rFonts w:ascii="楷体_GB2312" w:eastAsia="楷体_GB2312" w:hint="eastAsia"/>
          <w:noProof/>
        </w:rPr>
        <w:t>月初设立</w:t>
      </w:r>
      <w:r w:rsidR="00C24609">
        <w:rPr>
          <w:rFonts w:ascii="楷体_GB2312" w:eastAsia="楷体_GB2312" w:hint="eastAsia"/>
          <w:noProof/>
        </w:rPr>
        <w:t>。</w:t>
      </w:r>
    </w:p>
    <w:p w:rsidR="00E948C6" w:rsidRPr="003D06B4" w:rsidRDefault="00E948C6" w:rsidP="00E948C6">
      <w:pPr>
        <w:rPr>
          <w:rFonts w:ascii="楷体_GB2312" w:eastAsia="楷体_GB2312"/>
          <w:b/>
          <w:noProof/>
        </w:rPr>
      </w:pPr>
      <w:r>
        <w:rPr>
          <w:rFonts w:ascii="楷体_GB2312" w:eastAsia="楷体_GB2312" w:hint="eastAsia"/>
          <w:b/>
          <w:noProof/>
        </w:rPr>
        <w:t>上海证券基金推荐组合</w:t>
      </w:r>
      <w:r w:rsidRPr="003D06B4">
        <w:rPr>
          <w:rFonts w:ascii="楷体_GB2312" w:eastAsia="楷体_GB2312" w:hint="eastAsia"/>
          <w:b/>
          <w:noProof/>
        </w:rPr>
        <w:t>业绩比较基准</w:t>
      </w:r>
      <w:r>
        <w:rPr>
          <w:rFonts w:ascii="楷体_GB2312" w:eastAsia="楷体_GB2312" w:hint="eastAsia"/>
          <w:b/>
          <w:noProof/>
        </w:rPr>
        <w:t>：</w:t>
      </w:r>
    </w:p>
    <w:p w:rsidR="00E948C6" w:rsidRPr="00960590" w:rsidRDefault="00E948C6" w:rsidP="00E948C6">
      <w:pPr>
        <w:rPr>
          <w:rFonts w:ascii="楷体_GB2312" w:eastAsia="楷体_GB2312"/>
          <w:noProof/>
        </w:rPr>
      </w:pPr>
      <w:r w:rsidRPr="00960590">
        <w:rPr>
          <w:rFonts w:ascii="楷体_GB2312" w:eastAsia="楷体_GB2312" w:hint="eastAsia"/>
          <w:noProof/>
        </w:rPr>
        <w:t>积极型组合</w:t>
      </w:r>
      <w:r>
        <w:rPr>
          <w:rFonts w:ascii="楷体_GB2312" w:eastAsia="楷体_GB2312" w:hint="eastAsia"/>
          <w:noProof/>
        </w:rPr>
        <w:t>：</w:t>
      </w:r>
      <w:r w:rsidRPr="00960590">
        <w:rPr>
          <w:rFonts w:ascii="楷体_GB2312" w:eastAsia="楷体_GB2312" w:hint="eastAsia"/>
          <w:noProof/>
        </w:rPr>
        <w:t>主动投资偏股型基金整体；</w:t>
      </w:r>
    </w:p>
    <w:p w:rsidR="00E948C6" w:rsidRPr="00960590" w:rsidRDefault="00E948C6" w:rsidP="00E948C6">
      <w:pPr>
        <w:rPr>
          <w:rFonts w:ascii="楷体_GB2312" w:eastAsia="楷体_GB2312"/>
          <w:noProof/>
        </w:rPr>
      </w:pPr>
      <w:r w:rsidRPr="00960590">
        <w:rPr>
          <w:rFonts w:ascii="楷体_GB2312" w:eastAsia="楷体_GB2312" w:hint="eastAsia"/>
          <w:noProof/>
        </w:rPr>
        <w:t>平衡型</w:t>
      </w:r>
      <w:r>
        <w:rPr>
          <w:rFonts w:ascii="楷体_GB2312" w:eastAsia="楷体_GB2312" w:hint="eastAsia"/>
          <w:noProof/>
        </w:rPr>
        <w:t>组合：</w:t>
      </w:r>
      <w:r w:rsidRPr="00960590">
        <w:rPr>
          <w:rFonts w:ascii="楷体_GB2312" w:eastAsia="楷体_GB2312" w:hint="eastAsia"/>
          <w:noProof/>
        </w:rPr>
        <w:t>50%主动投资偏股型基金+50%债券型基金；</w:t>
      </w:r>
    </w:p>
    <w:p w:rsidR="00E948C6" w:rsidRPr="00960590" w:rsidRDefault="00E948C6" w:rsidP="00E948C6">
      <w:pPr>
        <w:rPr>
          <w:rFonts w:ascii="楷体_GB2312" w:eastAsia="楷体_GB2312"/>
          <w:noProof/>
        </w:rPr>
      </w:pPr>
      <w:r w:rsidRPr="00960590">
        <w:rPr>
          <w:rFonts w:ascii="楷体_GB2312" w:eastAsia="楷体_GB2312" w:hint="eastAsia"/>
          <w:noProof/>
        </w:rPr>
        <w:t>稳健型</w:t>
      </w:r>
      <w:r>
        <w:rPr>
          <w:rFonts w:ascii="楷体_GB2312" w:eastAsia="楷体_GB2312" w:hint="eastAsia"/>
          <w:noProof/>
        </w:rPr>
        <w:t>组合：</w:t>
      </w:r>
      <w:r w:rsidRPr="00960590">
        <w:rPr>
          <w:rFonts w:ascii="楷体_GB2312" w:eastAsia="楷体_GB2312" w:hint="eastAsia"/>
          <w:noProof/>
        </w:rPr>
        <w:t>一年定期存款利率</w:t>
      </w:r>
      <w:r>
        <w:rPr>
          <w:rFonts w:ascii="楷体_GB2312" w:eastAsia="楷体_GB2312" w:hint="eastAsia"/>
          <w:noProof/>
        </w:rPr>
        <w:t>。</w:t>
      </w:r>
    </w:p>
    <w:p w:rsidR="00C8243E" w:rsidRPr="00394675" w:rsidRDefault="00C8243E" w:rsidP="00C8243E">
      <w:pPr>
        <w:pageBreakBefore/>
        <w:spacing w:line="400" w:lineRule="exact"/>
        <w:jc w:val="left"/>
        <w:rPr>
          <w:rFonts w:eastAsia="楷体_GB2312"/>
          <w:b/>
          <w:bCs/>
          <w:color w:val="003366"/>
          <w:szCs w:val="21"/>
        </w:rPr>
      </w:pPr>
      <w:r w:rsidRPr="00394675">
        <w:rPr>
          <w:rFonts w:eastAsia="楷体_GB2312"/>
          <w:b/>
          <w:bCs/>
          <w:color w:val="003366"/>
          <w:szCs w:val="21"/>
        </w:rPr>
        <w:lastRenderedPageBreak/>
        <w:t>分析师承诺</w:t>
      </w:r>
    </w:p>
    <w:p w:rsidR="00C8243E" w:rsidRPr="00394675" w:rsidRDefault="00C8243E" w:rsidP="00A422E1">
      <w:pPr>
        <w:spacing w:beforeLines="50"/>
        <w:rPr>
          <w:rFonts w:eastAsia="楷体_GB2312"/>
          <w:sz w:val="18"/>
          <w:szCs w:val="18"/>
        </w:rPr>
      </w:pPr>
      <w:r w:rsidRPr="00394675">
        <w:rPr>
          <w:rFonts w:eastAsia="楷体_GB2312"/>
          <w:sz w:val="18"/>
          <w:szCs w:val="18"/>
        </w:rPr>
        <w:t>分析师</w:t>
      </w:r>
      <w:r w:rsidR="003957E9">
        <w:rPr>
          <w:rFonts w:eastAsia="楷体_GB2312" w:hint="eastAsia"/>
          <w:sz w:val="18"/>
          <w:szCs w:val="18"/>
        </w:rPr>
        <w:t xml:space="preserve"> </w:t>
      </w:r>
      <w:r>
        <w:rPr>
          <w:rFonts w:eastAsia="楷体_GB2312" w:hint="eastAsia"/>
          <w:sz w:val="18"/>
          <w:szCs w:val="18"/>
        </w:rPr>
        <w:t>刘亦千</w:t>
      </w:r>
    </w:p>
    <w:p w:rsidR="00C8243E" w:rsidRPr="00653644" w:rsidRDefault="00C8243E" w:rsidP="00C8243E">
      <w:pPr>
        <w:spacing w:line="300" w:lineRule="exact"/>
        <w:rPr>
          <w:rFonts w:ascii="楷体_GB2312" w:eastAsia="楷体_GB2312"/>
          <w:color w:val="000000"/>
          <w:sz w:val="18"/>
          <w:szCs w:val="18"/>
        </w:rPr>
      </w:pPr>
      <w:r w:rsidRPr="00653644">
        <w:rPr>
          <w:rFonts w:ascii="楷体_GB2312" w:eastAsia="楷体_GB2312" w:hint="eastAsia"/>
          <w:color w:val="000000"/>
          <w:sz w:val="18"/>
          <w:szCs w:val="18"/>
        </w:rPr>
        <w:t>本人</w:t>
      </w:r>
      <w:r>
        <w:rPr>
          <w:rFonts w:ascii="楷体_GB2312" w:eastAsia="楷体_GB2312" w:hint="eastAsia"/>
          <w:color w:val="000000"/>
          <w:sz w:val="18"/>
          <w:szCs w:val="18"/>
        </w:rPr>
        <w:t>以勤勉尽责的职业态度，独立、客观地出具本报告。本报告依据公开的信息来源，力求清晰、准确地反映分析师的研究观点。此外，本人薪酬的任何部分过去不曾与、现在不与、未来也将不会与本报告中的具体推荐意见或观点直接或间接相关。</w:t>
      </w:r>
    </w:p>
    <w:p w:rsidR="00C8243E" w:rsidRDefault="00C8243E" w:rsidP="00C8243E">
      <w:pPr>
        <w:spacing w:line="400" w:lineRule="exact"/>
        <w:jc w:val="left"/>
        <w:rPr>
          <w:rFonts w:ascii="楷体_GB2312" w:eastAsia="楷体_GB2312" w:hAnsi="Arial" w:cs="Arial"/>
          <w:b/>
          <w:bCs/>
          <w:color w:val="FF6600"/>
          <w:szCs w:val="21"/>
        </w:rPr>
      </w:pPr>
    </w:p>
    <w:p w:rsidR="00693B26" w:rsidRDefault="00693B26" w:rsidP="00693B26">
      <w:pPr>
        <w:spacing w:line="400" w:lineRule="exact"/>
        <w:jc w:val="left"/>
        <w:rPr>
          <w:rFonts w:ascii="楷体_GB2312" w:eastAsia="楷体_GB2312" w:hAnsi="Arial" w:cs="Arial"/>
          <w:b/>
          <w:bCs/>
          <w:color w:val="003366"/>
          <w:szCs w:val="21"/>
        </w:rPr>
      </w:pPr>
      <w:r>
        <w:rPr>
          <w:rFonts w:ascii="楷体_GB2312" w:eastAsia="楷体_GB2312" w:hAnsi="Arial" w:cs="Arial" w:hint="eastAsia"/>
          <w:b/>
          <w:bCs/>
          <w:color w:val="003366"/>
          <w:szCs w:val="21"/>
        </w:rPr>
        <w:t>公司业务资格说明</w:t>
      </w:r>
    </w:p>
    <w:p w:rsidR="00693B26" w:rsidRPr="00867DF5" w:rsidRDefault="00693B26" w:rsidP="00693B26">
      <w:pPr>
        <w:spacing w:line="400" w:lineRule="exact"/>
        <w:jc w:val="left"/>
        <w:rPr>
          <w:rFonts w:ascii="楷体_GB2312" w:eastAsia="楷体_GB2312"/>
          <w:color w:val="000000"/>
          <w:sz w:val="18"/>
          <w:szCs w:val="18"/>
        </w:rPr>
      </w:pPr>
      <w:r w:rsidRPr="00867DF5">
        <w:rPr>
          <w:rFonts w:ascii="楷体_GB2312" w:eastAsia="楷体_GB2312" w:hint="eastAsia"/>
          <w:color w:val="000000"/>
          <w:sz w:val="18"/>
          <w:szCs w:val="18"/>
        </w:rPr>
        <w:t>本公司具备证券投资咨询业务资格，是具备协会会员资格的基金评价机构</w:t>
      </w:r>
      <w:r>
        <w:rPr>
          <w:rFonts w:ascii="楷体_GB2312" w:eastAsia="楷体_GB2312" w:hint="eastAsia"/>
          <w:color w:val="000000"/>
          <w:sz w:val="18"/>
          <w:szCs w:val="18"/>
        </w:rPr>
        <w:t>。</w:t>
      </w:r>
    </w:p>
    <w:p w:rsidR="00693B26" w:rsidRDefault="00693B26" w:rsidP="00693B26">
      <w:pPr>
        <w:spacing w:line="400" w:lineRule="exact"/>
        <w:jc w:val="left"/>
        <w:rPr>
          <w:rFonts w:ascii="楷体_GB2312" w:eastAsia="楷体_GB2312" w:hAnsi="Arial" w:cs="Arial"/>
          <w:b/>
          <w:bCs/>
          <w:color w:val="003366"/>
          <w:szCs w:val="21"/>
        </w:rPr>
      </w:pPr>
    </w:p>
    <w:p w:rsidR="00693B26" w:rsidRPr="008F1970" w:rsidRDefault="00693B26" w:rsidP="00693B26">
      <w:pPr>
        <w:spacing w:line="400" w:lineRule="exact"/>
        <w:jc w:val="left"/>
        <w:rPr>
          <w:rFonts w:ascii="楷体_GB2312" w:eastAsia="楷体_GB2312" w:hAnsi="Arial" w:cs="Arial"/>
          <w:b/>
          <w:bCs/>
          <w:color w:val="003366"/>
          <w:szCs w:val="21"/>
        </w:rPr>
      </w:pPr>
      <w:r>
        <w:rPr>
          <w:rFonts w:ascii="楷体_GB2312" w:eastAsia="楷体_GB2312" w:hAnsi="Arial" w:cs="Arial" w:hint="eastAsia"/>
          <w:b/>
          <w:bCs/>
          <w:color w:val="003366"/>
          <w:szCs w:val="21"/>
        </w:rPr>
        <w:t>重要声明</w:t>
      </w:r>
    </w:p>
    <w:p w:rsidR="00693B26" w:rsidRPr="00427DD5" w:rsidRDefault="00693B26" w:rsidP="00693B26">
      <w:pPr>
        <w:spacing w:line="300" w:lineRule="exact"/>
        <w:rPr>
          <w:rFonts w:ascii="楷体_GB2312" w:eastAsia="楷体_GB2312"/>
          <w:color w:val="000000"/>
          <w:sz w:val="18"/>
          <w:szCs w:val="18"/>
        </w:rPr>
      </w:pPr>
      <w:r w:rsidRPr="00427DD5">
        <w:rPr>
          <w:rFonts w:ascii="楷体_GB2312" w:eastAsia="楷体_GB2312" w:hint="eastAsia"/>
          <w:color w:val="000000"/>
          <w:sz w:val="18"/>
          <w:szCs w:val="18"/>
        </w:rPr>
        <w:t>本报告中的信息均来源于已公开的资料，我公司对这些信息的准确性及完整性不作任何保证，不保证该信息未经任何更新，也不保证本公司作出的任何建议不会发生任何变更。在任何情况下，报告中的信息或所表达的意见并不构成所述证券买卖的出价或询价。在任何情况下，我公司不就本报告中的任何内容对任何投资作出任何形式的担保。我公司及其关联机构可能会持有报告中提到的公司所发行的证券并进行交易，还可能为这些公司提供或争取提供投资银行或财务顾问服务。业绩表现数据仅代表过去的表现，不保证未来结果。投资收益和本金将随市场波动，当出售证券资产时可能发生损益。当前的表现可能会高于或低于那时引用的数据。</w:t>
      </w:r>
    </w:p>
    <w:p w:rsidR="00693B26" w:rsidRPr="00427DD5" w:rsidRDefault="00693B26" w:rsidP="00693B26">
      <w:pPr>
        <w:spacing w:line="300" w:lineRule="exact"/>
        <w:rPr>
          <w:rFonts w:ascii="楷体_GB2312" w:eastAsia="楷体_GB2312"/>
          <w:sz w:val="18"/>
          <w:szCs w:val="18"/>
        </w:rPr>
      </w:pPr>
      <w:r w:rsidRPr="00427DD5">
        <w:rPr>
          <w:rFonts w:ascii="楷体_GB2312" w:eastAsia="楷体_GB2312" w:hint="eastAsia"/>
          <w:color w:val="000000"/>
          <w:sz w:val="18"/>
          <w:szCs w:val="18"/>
        </w:rPr>
        <w:t>本报告版权归上海证券有限责任公司所有。未获得上海证券有限责任公司事先书面授权，任何人不得对本报告进行任何形式的发布、复制。如遵循原文本意地引用、刊发，需注明出处为“上海证券基金评价研究中心”。</w:t>
      </w:r>
    </w:p>
    <w:p w:rsidR="00BE3940" w:rsidRPr="00693B26" w:rsidRDefault="00BE3940" w:rsidP="00BE3940">
      <w:pPr>
        <w:spacing w:line="300" w:lineRule="exact"/>
        <w:rPr>
          <w:rFonts w:ascii="楷体_GB2312" w:eastAsia="楷体_GB2312"/>
          <w:sz w:val="18"/>
          <w:szCs w:val="18"/>
        </w:rPr>
      </w:pPr>
    </w:p>
    <w:p w:rsidR="00BE3940" w:rsidRDefault="00BE3940" w:rsidP="00BE3940">
      <w:pPr>
        <w:spacing w:line="400" w:lineRule="exact"/>
        <w:jc w:val="left"/>
        <w:rPr>
          <w:rFonts w:ascii="楷体_GB2312" w:eastAsia="楷体_GB2312" w:hAnsi="Arial" w:cs="Arial"/>
          <w:b/>
          <w:bCs/>
          <w:color w:val="FF6600"/>
          <w:szCs w:val="21"/>
        </w:rPr>
      </w:pPr>
    </w:p>
    <w:p w:rsidR="00BE3940" w:rsidRDefault="00BE3940" w:rsidP="00BE3940">
      <w:pPr>
        <w:spacing w:line="400" w:lineRule="exact"/>
        <w:jc w:val="left"/>
        <w:rPr>
          <w:rFonts w:ascii="楷体_GB2312" w:eastAsia="楷体_GB2312" w:hAnsi="Arial" w:cs="Arial"/>
          <w:b/>
          <w:bCs/>
          <w:color w:val="FF6600"/>
          <w:szCs w:val="21"/>
        </w:rPr>
      </w:pPr>
    </w:p>
    <w:p w:rsidR="00BE3940" w:rsidRDefault="00BE3940" w:rsidP="00BE3940">
      <w:pPr>
        <w:spacing w:line="400" w:lineRule="exact"/>
        <w:jc w:val="left"/>
        <w:rPr>
          <w:rFonts w:ascii="楷体_GB2312" w:eastAsia="楷体_GB2312" w:hAnsi="Arial" w:cs="Arial"/>
          <w:b/>
          <w:bCs/>
          <w:color w:val="FF6600"/>
          <w:szCs w:val="21"/>
        </w:rPr>
      </w:pPr>
    </w:p>
    <w:p w:rsidR="00BE3940" w:rsidRDefault="00BE3940" w:rsidP="00BE3940">
      <w:pPr>
        <w:spacing w:line="400" w:lineRule="exact"/>
        <w:jc w:val="left"/>
        <w:rPr>
          <w:rFonts w:ascii="楷体_GB2312" w:eastAsia="楷体_GB2312" w:hAnsi="Arial" w:cs="Arial"/>
          <w:b/>
          <w:bCs/>
          <w:color w:val="FF6600"/>
          <w:szCs w:val="21"/>
        </w:rPr>
      </w:pPr>
    </w:p>
    <w:p w:rsidR="00BE3940" w:rsidRDefault="00BE3940" w:rsidP="00BE3940">
      <w:pPr>
        <w:spacing w:line="400" w:lineRule="exact"/>
        <w:jc w:val="left"/>
        <w:rPr>
          <w:rFonts w:ascii="楷体_GB2312" w:eastAsia="楷体_GB2312" w:hAnsi="Arial" w:cs="Arial"/>
          <w:b/>
          <w:bCs/>
          <w:color w:val="FF6600"/>
          <w:szCs w:val="21"/>
        </w:rPr>
      </w:pPr>
    </w:p>
    <w:p w:rsidR="00BE3940" w:rsidRDefault="00BE3940" w:rsidP="00BE3940">
      <w:pPr>
        <w:spacing w:line="400" w:lineRule="exact"/>
        <w:jc w:val="left"/>
        <w:rPr>
          <w:rFonts w:ascii="楷体_GB2312" w:eastAsia="楷体_GB2312" w:hAnsi="Arial" w:cs="Arial"/>
          <w:b/>
          <w:bCs/>
          <w:color w:val="FF6600"/>
          <w:szCs w:val="21"/>
        </w:rPr>
      </w:pPr>
    </w:p>
    <w:p w:rsidR="00BE3940" w:rsidRDefault="00BE3940" w:rsidP="00BE3940">
      <w:pPr>
        <w:spacing w:line="400" w:lineRule="exact"/>
        <w:jc w:val="left"/>
        <w:rPr>
          <w:rFonts w:ascii="楷体_GB2312" w:eastAsia="楷体_GB2312" w:hAnsi="Arial" w:cs="Arial"/>
          <w:b/>
          <w:bCs/>
          <w:color w:val="FF6600"/>
          <w:szCs w:val="21"/>
        </w:rPr>
      </w:pPr>
    </w:p>
    <w:p w:rsidR="00BE3940" w:rsidRDefault="00BE3940" w:rsidP="00BE3940">
      <w:pPr>
        <w:spacing w:line="400" w:lineRule="exact"/>
        <w:jc w:val="left"/>
        <w:rPr>
          <w:rFonts w:ascii="楷体_GB2312" w:eastAsia="楷体_GB2312" w:hAnsi="Arial" w:cs="Arial"/>
          <w:b/>
          <w:bCs/>
          <w:color w:val="FF6600"/>
          <w:szCs w:val="21"/>
        </w:rPr>
      </w:pPr>
    </w:p>
    <w:sectPr w:rsidR="00BE3940" w:rsidSect="00362A1B">
      <w:headerReference w:type="default" r:id="rId31"/>
      <w:pgSz w:w="11906" w:h="16838"/>
      <w:pgMar w:top="1418" w:right="1133"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B25" w:rsidRDefault="000D1B25">
      <w:r>
        <w:separator/>
      </w:r>
    </w:p>
  </w:endnote>
  <w:endnote w:type="continuationSeparator" w:id="0">
    <w:p w:rsidR="000D1B25" w:rsidRDefault="000D1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18030">
    <w:altName w:val="宋体"/>
    <w:charset w:val="86"/>
    <w:family w:val="modern"/>
    <w:pitch w:val="fixed"/>
    <w:sig w:usb0="800022A7" w:usb1="880F3C78" w:usb2="000A005E"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E1" w:rsidRDefault="00A422E1" w:rsidP="00BE3940">
    <w:pPr>
      <w:pStyle w:val="a5"/>
      <w:framePr w:wrap="around" w:vAnchor="text" w:hAnchor="margin" w:xAlign="right" w:y="1"/>
      <w:rPr>
        <w:rStyle w:val="a7"/>
      </w:rPr>
    </w:pPr>
    <w:r>
      <w:rPr>
        <w:rStyle w:val="a7"/>
        <w:noProof/>
      </w:rPr>
      <w:t>1</w:t>
    </w:r>
  </w:p>
  <w:p w:rsidR="00A422E1" w:rsidRDefault="00A422E1" w:rsidP="00BE394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E1" w:rsidRDefault="00A422E1" w:rsidP="00BE3940">
    <w:pPr>
      <w:pStyle w:val="a5"/>
      <w:framePr w:wrap="around" w:vAnchor="text" w:hAnchor="margin" w:xAlign="right" w:y="1"/>
      <w:rPr>
        <w:rStyle w:val="a7"/>
      </w:rPr>
    </w:pPr>
    <w:r>
      <w:rPr>
        <w:rStyle w:val="a7"/>
        <w:noProof/>
      </w:rPr>
      <w:t>1</w:t>
    </w:r>
  </w:p>
  <w:p w:rsidR="00A422E1" w:rsidRDefault="00A422E1" w:rsidP="00BE3940">
    <w:pPr>
      <w:pStyle w:val="a5"/>
      <w:ind w:right="360"/>
    </w:pPr>
    <w:r>
      <w:rPr>
        <w:noProof/>
      </w:rPr>
      <w:pict>
        <v:shapetype id="_x0000_t202" coordsize="21600,21600" o:spt="202" path="m,l,21600r21600,l21600,xe">
          <v:stroke joinstyle="miter"/>
          <v:path gradientshapeok="t" o:connecttype="rect"/>
        </v:shapetype>
        <v:shape id="_x0000_s2049" type="#_x0000_t202" style="position:absolute;margin-left:28.8pt;margin-top:772.9pt;width:513.45pt;height:18pt;z-index:251656704;mso-position-horizontal-relative:page;mso-position-vertical-relative:page" filled="f" stroked="f">
          <v:textbox style="mso-next-textbox:#_x0000_s2049" inset="0,0,0,0">
            <w:txbxContent>
              <w:p w:rsidR="00A422E1" w:rsidRPr="00FB139B" w:rsidRDefault="00A422E1" w:rsidP="00BE3940">
                <w:pPr>
                  <w:pBdr>
                    <w:top w:val="single" w:sz="4" w:space="3" w:color="auto"/>
                  </w:pBdr>
                  <w:topLinePunct/>
                  <w:spacing w:line="200" w:lineRule="exact"/>
                  <w:rPr>
                    <w:rFonts w:ascii="楷体_GB2312" w:eastAsia="楷体_GB2312"/>
                    <w:color w:val="003366"/>
                    <w:szCs w:val="21"/>
                  </w:rPr>
                </w:pPr>
                <w:r w:rsidRPr="00FB139B">
                  <w:rPr>
                    <w:rFonts w:ascii="楷体_GB2312" w:eastAsia="楷体_GB2312" w:hint="eastAsia"/>
                    <w:b/>
                    <w:color w:val="003366"/>
                    <w:szCs w:val="21"/>
                  </w:rPr>
                  <w:t>重要提示：</w:t>
                </w:r>
                <w:r w:rsidRPr="00EF283B">
                  <w:rPr>
                    <w:rFonts w:ascii="楷体_GB2312" w:eastAsia="楷体_GB2312" w:hint="eastAsia"/>
                    <w:b/>
                    <w:color w:val="003366"/>
                    <w:szCs w:val="21"/>
                  </w:rPr>
                  <w:t>请务必阅读尾页分析师承诺和免责条款</w:t>
                </w:r>
                <w:r w:rsidRPr="00FB139B">
                  <w:rPr>
                    <w:rFonts w:ascii="楷体_GB2312" w:eastAsia="楷体_GB2312" w:hint="eastAsia"/>
                    <w:color w:val="003366"/>
                    <w:szCs w:val="21"/>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B25" w:rsidRDefault="000D1B25">
      <w:r>
        <w:separator/>
      </w:r>
    </w:p>
  </w:footnote>
  <w:footnote w:type="continuationSeparator" w:id="0">
    <w:p w:rsidR="000D1B25" w:rsidRDefault="000D1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E1" w:rsidRPr="0010121A" w:rsidRDefault="00A422E1">
    <w:pPr>
      <w:pStyle w:val="a4"/>
      <w:rPr>
        <w:rFonts w:ascii="楷体_GB2312" w:eastAsia="楷体_GB2312"/>
        <w:b/>
        <w:color w:val="333399"/>
        <w:sz w:val="21"/>
        <w:szCs w:val="21"/>
      </w:rPr>
    </w:pPr>
    <w:r>
      <w:rPr>
        <w:rFonts w:ascii="楷体_GB2312" w:eastAsia="楷体_GB2312" w:hint="eastAsia"/>
        <w:b/>
        <w:color w:val="333399"/>
        <w:sz w:val="21"/>
        <w:szCs w:val="21"/>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E1" w:rsidRPr="00935FC9" w:rsidRDefault="00A422E1" w:rsidP="00CE0CE6">
    <w:pPr>
      <w:pStyle w:val="a4"/>
      <w:jc w:val="left"/>
      <w:rPr>
        <w:rFonts w:ascii="楷体_GB2312" w:eastAsia="楷体_GB2312"/>
        <w:b/>
        <w:color w:val="333399"/>
        <w:sz w:val="24"/>
        <w:szCs w:val="24"/>
      </w:rPr>
    </w:pPr>
    <w:r w:rsidRPr="0005024E">
      <w:rPr>
        <w:rFonts w:ascii="楷体_GB2312" w:eastAsia="楷体_GB2312"/>
        <w:b/>
        <w:noProof/>
        <w:color w:val="003366"/>
        <w:sz w:val="21"/>
        <w:szCs w:val="21"/>
      </w:rPr>
      <w:pict>
        <v:line id="_x0000_s2054" style="position:absolute;z-index:251658752" from="70.1pt,20.55pt" to="459pt,20.55pt" strokecolor="#036" strokeweight="1.5pt"/>
      </w:pict>
    </w:r>
    <w:r>
      <w:rPr>
        <w:rFonts w:ascii="楷体_GB2312" w:eastAsia="楷体_GB2312" w:hint="eastAsia"/>
        <w:b/>
        <w:noProof/>
        <w:color w:val="003366"/>
        <w:sz w:val="21"/>
        <w:szCs w:val="21"/>
      </w:rPr>
      <w:drawing>
        <wp:inline distT="0" distB="0" distL="0" distR="0">
          <wp:extent cx="905510" cy="241300"/>
          <wp:effectExtent l="19050" t="0" r="8890" b="0"/>
          <wp:docPr id="9" name="图片 9" descr="ye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mei"/>
                  <pic:cNvPicPr>
                    <a:picLocks noChangeAspect="1" noChangeArrowheads="1"/>
                  </pic:cNvPicPr>
                </pic:nvPicPr>
                <pic:blipFill>
                  <a:blip r:embed="rId1"/>
                  <a:srcRect/>
                  <a:stretch>
                    <a:fillRect/>
                  </a:stretch>
                </pic:blipFill>
                <pic:spPr bwMode="auto">
                  <a:xfrm>
                    <a:off x="0" y="0"/>
                    <a:ext cx="905510" cy="241300"/>
                  </a:xfrm>
                  <a:prstGeom prst="rect">
                    <a:avLst/>
                  </a:prstGeom>
                  <a:noFill/>
                  <a:ln w="9525">
                    <a:noFill/>
                    <a:miter lim="800000"/>
                    <a:headEnd/>
                    <a:tailEnd/>
                  </a:ln>
                </pic:spPr>
              </pic:pic>
            </a:graphicData>
          </a:graphic>
        </wp:inline>
      </w:drawing>
    </w:r>
    <w:r w:rsidRPr="0005024E">
      <w:rPr>
        <w:rFonts w:ascii="楷体_GB2312" w:eastAsia="楷体_GB2312"/>
        <w:b/>
        <w:noProof/>
        <w:color w:val="333399"/>
        <w:sz w:val="21"/>
        <w:szCs w:val="21"/>
      </w:rPr>
      <w:pict>
        <v:shapetype id="_x0000_t202" coordsize="21600,21600" o:spt="202" path="m,l,21600r21600,l21600,xe">
          <v:stroke joinstyle="miter"/>
          <v:path gradientshapeok="t" o:connecttype="rect"/>
        </v:shapetype>
        <v:shape id="_x0000_s2055" type="#_x0000_t202" style="position:absolute;margin-left:-189pt;margin-top:-2.85pt;width:89.25pt;height:30.1pt;z-index:251657728;mso-wrap-style:none;mso-position-horizontal-relative:text;mso-position-vertical-relative:text" stroked="f">
          <v:textbox style="mso-next-textbox:#_x0000_s2055;mso-fit-shape-to-text:t">
            <w:txbxContent>
              <w:p w:rsidR="00A422E1" w:rsidRDefault="00A422E1">
                <w:r>
                  <w:rPr>
                    <w:noProof/>
                  </w:rPr>
                  <w:drawing>
                    <wp:inline distT="0" distB="0" distL="0" distR="0">
                      <wp:extent cx="948690" cy="293370"/>
                      <wp:effectExtent l="19050" t="0" r="381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948690" cy="293370"/>
                              </a:xfrm>
                              <a:prstGeom prst="rect">
                                <a:avLst/>
                              </a:prstGeom>
                              <a:noFill/>
                              <a:ln w="9525">
                                <a:noFill/>
                                <a:miter lim="800000"/>
                                <a:headEnd/>
                                <a:tailEnd/>
                              </a:ln>
                            </pic:spPr>
                          </pic:pic>
                        </a:graphicData>
                      </a:graphic>
                    </wp:inline>
                  </w:drawing>
                </w:r>
              </w:p>
            </w:txbxContent>
          </v:textbox>
        </v:shape>
      </w:pict>
    </w:r>
    <w:r>
      <w:rPr>
        <w:rFonts w:ascii="楷体_GB2312" w:eastAsia="楷体_GB2312" w:hint="eastAsia"/>
        <w:b/>
        <w:color w:val="333399"/>
        <w:sz w:val="21"/>
        <w:szCs w:val="21"/>
      </w:rPr>
      <w:t xml:space="preserve"> </w:t>
    </w:r>
    <w:r w:rsidRPr="00935FC9">
      <w:rPr>
        <w:rFonts w:ascii="楷体_GB2312" w:eastAsia="楷体_GB2312" w:hint="eastAsia"/>
        <w:b/>
        <w:color w:val="333399"/>
        <w:sz w:val="24"/>
        <w:szCs w:val="24"/>
      </w:rPr>
      <w:t xml:space="preserve">   </w:t>
    </w:r>
    <w:r>
      <w:rPr>
        <w:rFonts w:ascii="楷体_GB2312" w:eastAsia="楷体_GB2312" w:hint="eastAsia"/>
        <w:b/>
        <w:color w:val="333399"/>
        <w:sz w:val="24"/>
        <w:szCs w:val="24"/>
      </w:rPr>
      <w:t xml:space="preserve">         </w:t>
    </w:r>
    <w:r w:rsidRPr="00935FC9">
      <w:rPr>
        <w:rFonts w:ascii="楷体_GB2312" w:eastAsia="楷体_GB2312" w:hint="eastAsia"/>
        <w:b/>
        <w:color w:val="333399"/>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173"/>
    <w:multiLevelType w:val="hybridMultilevel"/>
    <w:tmpl w:val="03680652"/>
    <w:lvl w:ilvl="0" w:tplc="B3C40B68">
      <w:start w:val="1"/>
      <w:numFmt w:val="japaneseCounting"/>
      <w:lvlText w:val="%1、"/>
      <w:lvlJc w:val="left"/>
      <w:pPr>
        <w:tabs>
          <w:tab w:val="num" w:pos="3555"/>
        </w:tabs>
        <w:ind w:left="3555" w:hanging="720"/>
      </w:pPr>
      <w:rPr>
        <w:rFonts w:hint="default"/>
      </w:rPr>
    </w:lvl>
    <w:lvl w:ilvl="1" w:tplc="04090019" w:tentative="1">
      <w:start w:val="1"/>
      <w:numFmt w:val="lowerLetter"/>
      <w:lvlText w:val="%2)"/>
      <w:lvlJc w:val="left"/>
      <w:pPr>
        <w:tabs>
          <w:tab w:val="num" w:pos="3675"/>
        </w:tabs>
        <w:ind w:left="3675" w:hanging="420"/>
      </w:pPr>
    </w:lvl>
    <w:lvl w:ilvl="2" w:tplc="0409001B" w:tentative="1">
      <w:start w:val="1"/>
      <w:numFmt w:val="lowerRoman"/>
      <w:lvlText w:val="%3."/>
      <w:lvlJc w:val="right"/>
      <w:pPr>
        <w:tabs>
          <w:tab w:val="num" w:pos="4095"/>
        </w:tabs>
        <w:ind w:left="4095" w:hanging="420"/>
      </w:pPr>
    </w:lvl>
    <w:lvl w:ilvl="3" w:tplc="0409000F" w:tentative="1">
      <w:start w:val="1"/>
      <w:numFmt w:val="decimal"/>
      <w:lvlText w:val="%4."/>
      <w:lvlJc w:val="left"/>
      <w:pPr>
        <w:tabs>
          <w:tab w:val="num" w:pos="4515"/>
        </w:tabs>
        <w:ind w:left="4515" w:hanging="420"/>
      </w:pPr>
    </w:lvl>
    <w:lvl w:ilvl="4" w:tplc="04090019" w:tentative="1">
      <w:start w:val="1"/>
      <w:numFmt w:val="lowerLetter"/>
      <w:lvlText w:val="%5)"/>
      <w:lvlJc w:val="left"/>
      <w:pPr>
        <w:tabs>
          <w:tab w:val="num" w:pos="4935"/>
        </w:tabs>
        <w:ind w:left="4935" w:hanging="420"/>
      </w:pPr>
    </w:lvl>
    <w:lvl w:ilvl="5" w:tplc="0409001B" w:tentative="1">
      <w:start w:val="1"/>
      <w:numFmt w:val="lowerRoman"/>
      <w:lvlText w:val="%6."/>
      <w:lvlJc w:val="right"/>
      <w:pPr>
        <w:tabs>
          <w:tab w:val="num" w:pos="5355"/>
        </w:tabs>
        <w:ind w:left="5355" w:hanging="420"/>
      </w:pPr>
    </w:lvl>
    <w:lvl w:ilvl="6" w:tplc="0409000F" w:tentative="1">
      <w:start w:val="1"/>
      <w:numFmt w:val="decimal"/>
      <w:lvlText w:val="%7."/>
      <w:lvlJc w:val="left"/>
      <w:pPr>
        <w:tabs>
          <w:tab w:val="num" w:pos="5775"/>
        </w:tabs>
        <w:ind w:left="5775" w:hanging="420"/>
      </w:pPr>
    </w:lvl>
    <w:lvl w:ilvl="7" w:tplc="04090019" w:tentative="1">
      <w:start w:val="1"/>
      <w:numFmt w:val="lowerLetter"/>
      <w:lvlText w:val="%8)"/>
      <w:lvlJc w:val="left"/>
      <w:pPr>
        <w:tabs>
          <w:tab w:val="num" w:pos="6195"/>
        </w:tabs>
        <w:ind w:left="6195" w:hanging="420"/>
      </w:pPr>
    </w:lvl>
    <w:lvl w:ilvl="8" w:tplc="0409001B" w:tentative="1">
      <w:start w:val="1"/>
      <w:numFmt w:val="lowerRoman"/>
      <w:lvlText w:val="%9."/>
      <w:lvlJc w:val="right"/>
      <w:pPr>
        <w:tabs>
          <w:tab w:val="num" w:pos="6615"/>
        </w:tabs>
        <w:ind w:left="6615" w:hanging="420"/>
      </w:pPr>
    </w:lvl>
  </w:abstractNum>
  <w:abstractNum w:abstractNumId="1">
    <w:nsid w:val="293D56C2"/>
    <w:multiLevelType w:val="multilevel"/>
    <w:tmpl w:val="03680652"/>
    <w:lvl w:ilvl="0">
      <w:start w:val="1"/>
      <w:numFmt w:val="japaneseCounting"/>
      <w:lvlText w:val="%1、"/>
      <w:lvlJc w:val="left"/>
      <w:pPr>
        <w:tabs>
          <w:tab w:val="num" w:pos="3555"/>
        </w:tabs>
        <w:ind w:left="3555" w:hanging="720"/>
      </w:pPr>
      <w:rPr>
        <w:rFonts w:hint="default"/>
      </w:rPr>
    </w:lvl>
    <w:lvl w:ilvl="1">
      <w:start w:val="1"/>
      <w:numFmt w:val="lowerLetter"/>
      <w:lvlText w:val="%2)"/>
      <w:lvlJc w:val="left"/>
      <w:pPr>
        <w:tabs>
          <w:tab w:val="num" w:pos="3675"/>
        </w:tabs>
        <w:ind w:left="3675" w:hanging="420"/>
      </w:pPr>
    </w:lvl>
    <w:lvl w:ilvl="2">
      <w:start w:val="1"/>
      <w:numFmt w:val="lowerRoman"/>
      <w:lvlText w:val="%3."/>
      <w:lvlJc w:val="right"/>
      <w:pPr>
        <w:tabs>
          <w:tab w:val="num" w:pos="4095"/>
        </w:tabs>
        <w:ind w:left="4095" w:hanging="420"/>
      </w:pPr>
    </w:lvl>
    <w:lvl w:ilvl="3">
      <w:start w:val="1"/>
      <w:numFmt w:val="decimal"/>
      <w:lvlText w:val="%4."/>
      <w:lvlJc w:val="left"/>
      <w:pPr>
        <w:tabs>
          <w:tab w:val="num" w:pos="4515"/>
        </w:tabs>
        <w:ind w:left="4515" w:hanging="420"/>
      </w:pPr>
    </w:lvl>
    <w:lvl w:ilvl="4">
      <w:start w:val="1"/>
      <w:numFmt w:val="lowerLetter"/>
      <w:lvlText w:val="%5)"/>
      <w:lvlJc w:val="left"/>
      <w:pPr>
        <w:tabs>
          <w:tab w:val="num" w:pos="4935"/>
        </w:tabs>
        <w:ind w:left="4935" w:hanging="420"/>
      </w:pPr>
    </w:lvl>
    <w:lvl w:ilvl="5">
      <w:start w:val="1"/>
      <w:numFmt w:val="lowerRoman"/>
      <w:lvlText w:val="%6."/>
      <w:lvlJc w:val="right"/>
      <w:pPr>
        <w:tabs>
          <w:tab w:val="num" w:pos="5355"/>
        </w:tabs>
        <w:ind w:left="5355" w:hanging="420"/>
      </w:pPr>
    </w:lvl>
    <w:lvl w:ilvl="6">
      <w:start w:val="1"/>
      <w:numFmt w:val="decimal"/>
      <w:lvlText w:val="%7."/>
      <w:lvlJc w:val="left"/>
      <w:pPr>
        <w:tabs>
          <w:tab w:val="num" w:pos="5775"/>
        </w:tabs>
        <w:ind w:left="5775" w:hanging="420"/>
      </w:pPr>
    </w:lvl>
    <w:lvl w:ilvl="7">
      <w:start w:val="1"/>
      <w:numFmt w:val="lowerLetter"/>
      <w:lvlText w:val="%8)"/>
      <w:lvlJc w:val="left"/>
      <w:pPr>
        <w:tabs>
          <w:tab w:val="num" w:pos="6195"/>
        </w:tabs>
        <w:ind w:left="6195" w:hanging="420"/>
      </w:pPr>
    </w:lvl>
    <w:lvl w:ilvl="8">
      <w:start w:val="1"/>
      <w:numFmt w:val="lowerRoman"/>
      <w:lvlText w:val="%9."/>
      <w:lvlJc w:val="right"/>
      <w:pPr>
        <w:tabs>
          <w:tab w:val="num" w:pos="6615"/>
        </w:tabs>
        <w:ind w:left="6615" w:hanging="420"/>
      </w:pPr>
    </w:lvl>
  </w:abstractNum>
  <w:abstractNum w:abstractNumId="2">
    <w:nsid w:val="2A070CE6"/>
    <w:multiLevelType w:val="hybridMultilevel"/>
    <w:tmpl w:val="03680652"/>
    <w:lvl w:ilvl="0" w:tplc="B3C40B68">
      <w:start w:val="1"/>
      <w:numFmt w:val="japaneseCounting"/>
      <w:pStyle w:val="ParaChar"/>
      <w:lvlText w:val="%1、"/>
      <w:lvlJc w:val="left"/>
      <w:pPr>
        <w:tabs>
          <w:tab w:val="num" w:pos="3555"/>
        </w:tabs>
        <w:ind w:left="3555" w:hanging="720"/>
      </w:pPr>
      <w:rPr>
        <w:rFonts w:hint="default"/>
      </w:rPr>
    </w:lvl>
    <w:lvl w:ilvl="1" w:tplc="04090019" w:tentative="1">
      <w:start w:val="1"/>
      <w:numFmt w:val="lowerLetter"/>
      <w:lvlText w:val="%2)"/>
      <w:lvlJc w:val="left"/>
      <w:pPr>
        <w:tabs>
          <w:tab w:val="num" w:pos="3675"/>
        </w:tabs>
        <w:ind w:left="3675" w:hanging="420"/>
      </w:pPr>
    </w:lvl>
    <w:lvl w:ilvl="2" w:tplc="0409001B" w:tentative="1">
      <w:start w:val="1"/>
      <w:numFmt w:val="lowerRoman"/>
      <w:lvlText w:val="%3."/>
      <w:lvlJc w:val="right"/>
      <w:pPr>
        <w:tabs>
          <w:tab w:val="num" w:pos="4095"/>
        </w:tabs>
        <w:ind w:left="4095" w:hanging="420"/>
      </w:pPr>
    </w:lvl>
    <w:lvl w:ilvl="3" w:tplc="0409000F" w:tentative="1">
      <w:start w:val="1"/>
      <w:numFmt w:val="decimal"/>
      <w:lvlText w:val="%4."/>
      <w:lvlJc w:val="left"/>
      <w:pPr>
        <w:tabs>
          <w:tab w:val="num" w:pos="4515"/>
        </w:tabs>
        <w:ind w:left="4515" w:hanging="420"/>
      </w:pPr>
    </w:lvl>
    <w:lvl w:ilvl="4" w:tplc="04090019" w:tentative="1">
      <w:start w:val="1"/>
      <w:numFmt w:val="lowerLetter"/>
      <w:lvlText w:val="%5)"/>
      <w:lvlJc w:val="left"/>
      <w:pPr>
        <w:tabs>
          <w:tab w:val="num" w:pos="4935"/>
        </w:tabs>
        <w:ind w:left="4935" w:hanging="420"/>
      </w:pPr>
    </w:lvl>
    <w:lvl w:ilvl="5" w:tplc="0409001B" w:tentative="1">
      <w:start w:val="1"/>
      <w:numFmt w:val="lowerRoman"/>
      <w:lvlText w:val="%6."/>
      <w:lvlJc w:val="right"/>
      <w:pPr>
        <w:tabs>
          <w:tab w:val="num" w:pos="5355"/>
        </w:tabs>
        <w:ind w:left="5355" w:hanging="420"/>
      </w:pPr>
    </w:lvl>
    <w:lvl w:ilvl="6" w:tplc="0409000F" w:tentative="1">
      <w:start w:val="1"/>
      <w:numFmt w:val="decimal"/>
      <w:lvlText w:val="%7."/>
      <w:lvlJc w:val="left"/>
      <w:pPr>
        <w:tabs>
          <w:tab w:val="num" w:pos="5775"/>
        </w:tabs>
        <w:ind w:left="5775" w:hanging="420"/>
      </w:pPr>
    </w:lvl>
    <w:lvl w:ilvl="7" w:tplc="04090019" w:tentative="1">
      <w:start w:val="1"/>
      <w:numFmt w:val="lowerLetter"/>
      <w:lvlText w:val="%8)"/>
      <w:lvlJc w:val="left"/>
      <w:pPr>
        <w:tabs>
          <w:tab w:val="num" w:pos="6195"/>
        </w:tabs>
        <w:ind w:left="6195" w:hanging="420"/>
      </w:pPr>
    </w:lvl>
    <w:lvl w:ilvl="8" w:tplc="0409001B" w:tentative="1">
      <w:start w:val="1"/>
      <w:numFmt w:val="lowerRoman"/>
      <w:lvlText w:val="%9."/>
      <w:lvlJc w:val="right"/>
      <w:pPr>
        <w:tabs>
          <w:tab w:val="num" w:pos="6615"/>
        </w:tabs>
        <w:ind w:left="6615" w:hanging="420"/>
      </w:pPr>
    </w:lvl>
  </w:abstractNum>
  <w:abstractNum w:abstractNumId="3">
    <w:nsid w:val="31E25EFD"/>
    <w:multiLevelType w:val="hybridMultilevel"/>
    <w:tmpl w:val="A90A8370"/>
    <w:lvl w:ilvl="0" w:tplc="63787446">
      <w:start w:val="1"/>
      <w:numFmt w:val="bullet"/>
      <w:lvlText w:val=""/>
      <w:lvlJc w:val="left"/>
      <w:pPr>
        <w:tabs>
          <w:tab w:val="num" w:pos="420"/>
        </w:tabs>
        <w:ind w:left="420" w:hanging="420"/>
      </w:pPr>
      <w:rPr>
        <w:rFonts w:ascii="Wingdings" w:hAnsi="Wingdings" w:hint="default"/>
        <w:color w:val="003366"/>
      </w:rPr>
    </w:lvl>
    <w:lvl w:ilvl="1" w:tplc="318E7592" w:tentative="1">
      <w:start w:val="1"/>
      <w:numFmt w:val="bullet"/>
      <w:lvlText w:val=""/>
      <w:lvlJc w:val="left"/>
      <w:pPr>
        <w:tabs>
          <w:tab w:val="num" w:pos="840"/>
        </w:tabs>
        <w:ind w:left="840" w:hanging="420"/>
      </w:pPr>
      <w:rPr>
        <w:rFonts w:ascii="Wingdings" w:hAnsi="Wingdings" w:hint="default"/>
      </w:rPr>
    </w:lvl>
    <w:lvl w:ilvl="2" w:tplc="DB9447D4" w:tentative="1">
      <w:start w:val="1"/>
      <w:numFmt w:val="bullet"/>
      <w:lvlText w:val=""/>
      <w:lvlJc w:val="left"/>
      <w:pPr>
        <w:tabs>
          <w:tab w:val="num" w:pos="1260"/>
        </w:tabs>
        <w:ind w:left="1260" w:hanging="420"/>
      </w:pPr>
      <w:rPr>
        <w:rFonts w:ascii="Wingdings" w:hAnsi="Wingdings" w:hint="default"/>
      </w:rPr>
    </w:lvl>
    <w:lvl w:ilvl="3" w:tplc="EF2866D2" w:tentative="1">
      <w:start w:val="1"/>
      <w:numFmt w:val="bullet"/>
      <w:lvlText w:val=""/>
      <w:lvlJc w:val="left"/>
      <w:pPr>
        <w:tabs>
          <w:tab w:val="num" w:pos="1680"/>
        </w:tabs>
        <w:ind w:left="1680" w:hanging="420"/>
      </w:pPr>
      <w:rPr>
        <w:rFonts w:ascii="Wingdings" w:hAnsi="Wingdings" w:hint="default"/>
      </w:rPr>
    </w:lvl>
    <w:lvl w:ilvl="4" w:tplc="0E56385C" w:tentative="1">
      <w:start w:val="1"/>
      <w:numFmt w:val="bullet"/>
      <w:lvlText w:val=""/>
      <w:lvlJc w:val="left"/>
      <w:pPr>
        <w:tabs>
          <w:tab w:val="num" w:pos="2100"/>
        </w:tabs>
        <w:ind w:left="2100" w:hanging="420"/>
      </w:pPr>
      <w:rPr>
        <w:rFonts w:ascii="Wingdings" w:hAnsi="Wingdings" w:hint="default"/>
      </w:rPr>
    </w:lvl>
    <w:lvl w:ilvl="5" w:tplc="79AC2510" w:tentative="1">
      <w:start w:val="1"/>
      <w:numFmt w:val="bullet"/>
      <w:lvlText w:val=""/>
      <w:lvlJc w:val="left"/>
      <w:pPr>
        <w:tabs>
          <w:tab w:val="num" w:pos="2520"/>
        </w:tabs>
        <w:ind w:left="2520" w:hanging="420"/>
      </w:pPr>
      <w:rPr>
        <w:rFonts w:ascii="Wingdings" w:hAnsi="Wingdings" w:hint="default"/>
      </w:rPr>
    </w:lvl>
    <w:lvl w:ilvl="6" w:tplc="505EA050" w:tentative="1">
      <w:start w:val="1"/>
      <w:numFmt w:val="bullet"/>
      <w:lvlText w:val=""/>
      <w:lvlJc w:val="left"/>
      <w:pPr>
        <w:tabs>
          <w:tab w:val="num" w:pos="2940"/>
        </w:tabs>
        <w:ind w:left="2940" w:hanging="420"/>
      </w:pPr>
      <w:rPr>
        <w:rFonts w:ascii="Wingdings" w:hAnsi="Wingdings" w:hint="default"/>
      </w:rPr>
    </w:lvl>
    <w:lvl w:ilvl="7" w:tplc="B9D00E26" w:tentative="1">
      <w:start w:val="1"/>
      <w:numFmt w:val="bullet"/>
      <w:lvlText w:val=""/>
      <w:lvlJc w:val="left"/>
      <w:pPr>
        <w:tabs>
          <w:tab w:val="num" w:pos="3360"/>
        </w:tabs>
        <w:ind w:left="3360" w:hanging="420"/>
      </w:pPr>
      <w:rPr>
        <w:rFonts w:ascii="Wingdings" w:hAnsi="Wingdings" w:hint="default"/>
      </w:rPr>
    </w:lvl>
    <w:lvl w:ilvl="8" w:tplc="16A63F48" w:tentative="1">
      <w:start w:val="1"/>
      <w:numFmt w:val="bullet"/>
      <w:lvlText w:val=""/>
      <w:lvlJc w:val="left"/>
      <w:pPr>
        <w:tabs>
          <w:tab w:val="num" w:pos="3780"/>
        </w:tabs>
        <w:ind w:left="3780" w:hanging="420"/>
      </w:pPr>
      <w:rPr>
        <w:rFonts w:ascii="Wingdings" w:hAnsi="Wingdings" w:hint="default"/>
      </w:rPr>
    </w:lvl>
  </w:abstractNum>
  <w:abstractNum w:abstractNumId="4">
    <w:nsid w:val="45F20624"/>
    <w:multiLevelType w:val="hybridMultilevel"/>
    <w:tmpl w:val="EEAE34C4"/>
    <w:lvl w:ilvl="0" w:tplc="F6EA0C6C">
      <w:numFmt w:val="bullet"/>
      <w:lvlText w:val="★"/>
      <w:lvlJc w:val="left"/>
      <w:pPr>
        <w:ind w:left="360" w:hanging="360"/>
      </w:pPr>
      <w:rPr>
        <w:rFonts w:ascii="楷体_GB2312" w:eastAsia="楷体_GB2312" w:hAnsi="宋体" w:cs="宋体" w:hint="eastAsia"/>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A5E3680"/>
    <w:multiLevelType w:val="hybridMultilevel"/>
    <w:tmpl w:val="8976F2B8"/>
    <w:lvl w:ilvl="0" w:tplc="3BAA5164">
      <w:start w:val="1"/>
      <w:numFmt w:val="bullet"/>
      <w:pStyle w:val="a"/>
      <w:lvlText w:val=""/>
      <w:lvlJc w:val="left"/>
      <w:pPr>
        <w:tabs>
          <w:tab w:val="num" w:pos="420"/>
        </w:tabs>
        <w:ind w:left="420" w:hanging="420"/>
      </w:pPr>
      <w:rPr>
        <w:rFonts w:ascii="Wingdings" w:hAnsi="Wingdings" w:hint="default"/>
        <w:color w:val="FF6600"/>
      </w:rPr>
    </w:lvl>
    <w:lvl w:ilvl="1" w:tplc="04090003" w:tentative="1">
      <w:start w:val="1"/>
      <w:numFmt w:val="bullet"/>
      <w:lvlText w:val=""/>
      <w:lvlJc w:val="left"/>
      <w:pPr>
        <w:tabs>
          <w:tab w:val="num" w:pos="630"/>
        </w:tabs>
        <w:ind w:left="630" w:hanging="420"/>
      </w:pPr>
      <w:rPr>
        <w:rFonts w:ascii="Wingdings" w:hAnsi="Wingdings" w:hint="default"/>
      </w:rPr>
    </w:lvl>
    <w:lvl w:ilvl="2" w:tplc="04090005"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3" w:tentative="1">
      <w:start w:val="1"/>
      <w:numFmt w:val="bullet"/>
      <w:lvlText w:val=""/>
      <w:lvlJc w:val="left"/>
      <w:pPr>
        <w:tabs>
          <w:tab w:val="num" w:pos="1890"/>
        </w:tabs>
        <w:ind w:left="1890" w:hanging="420"/>
      </w:pPr>
      <w:rPr>
        <w:rFonts w:ascii="Wingdings" w:hAnsi="Wingdings" w:hint="default"/>
      </w:rPr>
    </w:lvl>
    <w:lvl w:ilvl="5" w:tplc="04090005"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3" w:tentative="1">
      <w:start w:val="1"/>
      <w:numFmt w:val="bullet"/>
      <w:lvlText w:val=""/>
      <w:lvlJc w:val="left"/>
      <w:pPr>
        <w:tabs>
          <w:tab w:val="num" w:pos="3150"/>
        </w:tabs>
        <w:ind w:left="3150" w:hanging="420"/>
      </w:pPr>
      <w:rPr>
        <w:rFonts w:ascii="Wingdings" w:hAnsi="Wingdings" w:hint="default"/>
      </w:rPr>
    </w:lvl>
    <w:lvl w:ilvl="8" w:tplc="04090005" w:tentative="1">
      <w:start w:val="1"/>
      <w:numFmt w:val="bullet"/>
      <w:lvlText w:val=""/>
      <w:lvlJc w:val="left"/>
      <w:pPr>
        <w:tabs>
          <w:tab w:val="num" w:pos="3570"/>
        </w:tabs>
        <w:ind w:left="3570" w:hanging="420"/>
      </w:pPr>
      <w:rPr>
        <w:rFonts w:ascii="Wingdings" w:hAnsi="Wingdings" w:hint="default"/>
      </w:rPr>
    </w:lvl>
  </w:abstractNum>
  <w:abstractNum w:abstractNumId="6">
    <w:nsid w:val="7E1A10C2"/>
    <w:multiLevelType w:val="hybridMultilevel"/>
    <w:tmpl w:val="33A219AA"/>
    <w:lvl w:ilvl="0" w:tplc="A38A7AD4">
      <w:start w:val="1"/>
      <w:numFmt w:val="bullet"/>
      <w:lvlText w:val=""/>
      <w:lvlJc w:val="left"/>
      <w:pPr>
        <w:tabs>
          <w:tab w:val="num" w:pos="425"/>
        </w:tabs>
        <w:ind w:left="425" w:hanging="425"/>
      </w:pPr>
      <w:rPr>
        <w:rFonts w:ascii="Wingdings" w:hAnsi="Wingdings" w:hint="default"/>
        <w:color w:val="003366"/>
      </w:rPr>
    </w:lvl>
    <w:lvl w:ilvl="1" w:tplc="9A60056E" w:tentative="1">
      <w:start w:val="1"/>
      <w:numFmt w:val="bullet"/>
      <w:lvlText w:val=""/>
      <w:lvlJc w:val="left"/>
      <w:pPr>
        <w:tabs>
          <w:tab w:val="num" w:pos="840"/>
        </w:tabs>
        <w:ind w:left="840" w:hanging="420"/>
      </w:pPr>
      <w:rPr>
        <w:rFonts w:ascii="Wingdings" w:hAnsi="Wingdings" w:hint="default"/>
      </w:rPr>
    </w:lvl>
    <w:lvl w:ilvl="2" w:tplc="8BEC58DE" w:tentative="1">
      <w:start w:val="1"/>
      <w:numFmt w:val="bullet"/>
      <w:lvlText w:val=""/>
      <w:lvlJc w:val="left"/>
      <w:pPr>
        <w:tabs>
          <w:tab w:val="num" w:pos="1260"/>
        </w:tabs>
        <w:ind w:left="1260" w:hanging="420"/>
      </w:pPr>
      <w:rPr>
        <w:rFonts w:ascii="Wingdings" w:hAnsi="Wingdings" w:hint="default"/>
      </w:rPr>
    </w:lvl>
    <w:lvl w:ilvl="3" w:tplc="C9B83B34" w:tentative="1">
      <w:start w:val="1"/>
      <w:numFmt w:val="bullet"/>
      <w:lvlText w:val=""/>
      <w:lvlJc w:val="left"/>
      <w:pPr>
        <w:tabs>
          <w:tab w:val="num" w:pos="1680"/>
        </w:tabs>
        <w:ind w:left="1680" w:hanging="420"/>
      </w:pPr>
      <w:rPr>
        <w:rFonts w:ascii="Wingdings" w:hAnsi="Wingdings" w:hint="default"/>
      </w:rPr>
    </w:lvl>
    <w:lvl w:ilvl="4" w:tplc="C64E2148" w:tentative="1">
      <w:start w:val="1"/>
      <w:numFmt w:val="bullet"/>
      <w:lvlText w:val=""/>
      <w:lvlJc w:val="left"/>
      <w:pPr>
        <w:tabs>
          <w:tab w:val="num" w:pos="2100"/>
        </w:tabs>
        <w:ind w:left="2100" w:hanging="420"/>
      </w:pPr>
      <w:rPr>
        <w:rFonts w:ascii="Wingdings" w:hAnsi="Wingdings" w:hint="default"/>
      </w:rPr>
    </w:lvl>
    <w:lvl w:ilvl="5" w:tplc="2A5C8172" w:tentative="1">
      <w:start w:val="1"/>
      <w:numFmt w:val="bullet"/>
      <w:lvlText w:val=""/>
      <w:lvlJc w:val="left"/>
      <w:pPr>
        <w:tabs>
          <w:tab w:val="num" w:pos="2520"/>
        </w:tabs>
        <w:ind w:left="2520" w:hanging="420"/>
      </w:pPr>
      <w:rPr>
        <w:rFonts w:ascii="Wingdings" w:hAnsi="Wingdings" w:hint="default"/>
      </w:rPr>
    </w:lvl>
    <w:lvl w:ilvl="6" w:tplc="88B4F5E0" w:tentative="1">
      <w:start w:val="1"/>
      <w:numFmt w:val="bullet"/>
      <w:lvlText w:val=""/>
      <w:lvlJc w:val="left"/>
      <w:pPr>
        <w:tabs>
          <w:tab w:val="num" w:pos="2940"/>
        </w:tabs>
        <w:ind w:left="2940" w:hanging="420"/>
      </w:pPr>
      <w:rPr>
        <w:rFonts w:ascii="Wingdings" w:hAnsi="Wingdings" w:hint="default"/>
      </w:rPr>
    </w:lvl>
    <w:lvl w:ilvl="7" w:tplc="17E63E7E" w:tentative="1">
      <w:start w:val="1"/>
      <w:numFmt w:val="bullet"/>
      <w:lvlText w:val=""/>
      <w:lvlJc w:val="left"/>
      <w:pPr>
        <w:tabs>
          <w:tab w:val="num" w:pos="3360"/>
        </w:tabs>
        <w:ind w:left="3360" w:hanging="420"/>
      </w:pPr>
      <w:rPr>
        <w:rFonts w:ascii="Wingdings" w:hAnsi="Wingdings" w:hint="default"/>
      </w:rPr>
    </w:lvl>
    <w:lvl w:ilvl="8" w:tplc="D2520B0C"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481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7688"/>
    <w:rsid w:val="00000536"/>
    <w:rsid w:val="00000AD4"/>
    <w:rsid w:val="000044F4"/>
    <w:rsid w:val="00005BE8"/>
    <w:rsid w:val="0000648E"/>
    <w:rsid w:val="000106CA"/>
    <w:rsid w:val="0001113C"/>
    <w:rsid w:val="0001127B"/>
    <w:rsid w:val="0001321E"/>
    <w:rsid w:val="0001469B"/>
    <w:rsid w:val="00016CEE"/>
    <w:rsid w:val="00016D23"/>
    <w:rsid w:val="000174A7"/>
    <w:rsid w:val="000202BA"/>
    <w:rsid w:val="00022534"/>
    <w:rsid w:val="000238F6"/>
    <w:rsid w:val="000246CA"/>
    <w:rsid w:val="00024B12"/>
    <w:rsid w:val="000258AD"/>
    <w:rsid w:val="00025F5B"/>
    <w:rsid w:val="000274E7"/>
    <w:rsid w:val="00027789"/>
    <w:rsid w:val="00027E1E"/>
    <w:rsid w:val="0003081E"/>
    <w:rsid w:val="00030B24"/>
    <w:rsid w:val="00030BAB"/>
    <w:rsid w:val="00030D7F"/>
    <w:rsid w:val="000314BE"/>
    <w:rsid w:val="00031764"/>
    <w:rsid w:val="000322EF"/>
    <w:rsid w:val="000327E3"/>
    <w:rsid w:val="0003301C"/>
    <w:rsid w:val="000331E5"/>
    <w:rsid w:val="0003332D"/>
    <w:rsid w:val="00034BC1"/>
    <w:rsid w:val="00035714"/>
    <w:rsid w:val="00035A3C"/>
    <w:rsid w:val="00037269"/>
    <w:rsid w:val="00041A04"/>
    <w:rsid w:val="00042120"/>
    <w:rsid w:val="00042CAA"/>
    <w:rsid w:val="0004318E"/>
    <w:rsid w:val="000440AF"/>
    <w:rsid w:val="00046606"/>
    <w:rsid w:val="0004775B"/>
    <w:rsid w:val="00047AF8"/>
    <w:rsid w:val="00050159"/>
    <w:rsid w:val="0005024E"/>
    <w:rsid w:val="0005043F"/>
    <w:rsid w:val="00050ED4"/>
    <w:rsid w:val="0005103B"/>
    <w:rsid w:val="00052F7F"/>
    <w:rsid w:val="00053075"/>
    <w:rsid w:val="000534E5"/>
    <w:rsid w:val="0005399B"/>
    <w:rsid w:val="00053B65"/>
    <w:rsid w:val="0005451D"/>
    <w:rsid w:val="00055F5A"/>
    <w:rsid w:val="00057986"/>
    <w:rsid w:val="00057C80"/>
    <w:rsid w:val="0006016E"/>
    <w:rsid w:val="0006046B"/>
    <w:rsid w:val="00060998"/>
    <w:rsid w:val="00060F37"/>
    <w:rsid w:val="00061549"/>
    <w:rsid w:val="0006308E"/>
    <w:rsid w:val="00063307"/>
    <w:rsid w:val="000633FA"/>
    <w:rsid w:val="00063AC0"/>
    <w:rsid w:val="00064025"/>
    <w:rsid w:val="00064639"/>
    <w:rsid w:val="00065A74"/>
    <w:rsid w:val="00065D61"/>
    <w:rsid w:val="0006601F"/>
    <w:rsid w:val="000665F7"/>
    <w:rsid w:val="00067072"/>
    <w:rsid w:val="000679F2"/>
    <w:rsid w:val="000709F3"/>
    <w:rsid w:val="0007102E"/>
    <w:rsid w:val="000730BF"/>
    <w:rsid w:val="00073837"/>
    <w:rsid w:val="00073A20"/>
    <w:rsid w:val="00074C34"/>
    <w:rsid w:val="000753A8"/>
    <w:rsid w:val="00075727"/>
    <w:rsid w:val="00075DEA"/>
    <w:rsid w:val="000765F3"/>
    <w:rsid w:val="000772BD"/>
    <w:rsid w:val="000773C7"/>
    <w:rsid w:val="000803E1"/>
    <w:rsid w:val="0008073B"/>
    <w:rsid w:val="00080C6C"/>
    <w:rsid w:val="000823FE"/>
    <w:rsid w:val="00083230"/>
    <w:rsid w:val="00083340"/>
    <w:rsid w:val="000838AB"/>
    <w:rsid w:val="000844AB"/>
    <w:rsid w:val="000844E3"/>
    <w:rsid w:val="00084813"/>
    <w:rsid w:val="00084F6B"/>
    <w:rsid w:val="0008663F"/>
    <w:rsid w:val="00087C65"/>
    <w:rsid w:val="000903CC"/>
    <w:rsid w:val="00091B9B"/>
    <w:rsid w:val="00092408"/>
    <w:rsid w:val="00093188"/>
    <w:rsid w:val="00093F2D"/>
    <w:rsid w:val="00095242"/>
    <w:rsid w:val="00095B04"/>
    <w:rsid w:val="00095C41"/>
    <w:rsid w:val="00096293"/>
    <w:rsid w:val="00096A58"/>
    <w:rsid w:val="00096FBA"/>
    <w:rsid w:val="000970EC"/>
    <w:rsid w:val="00097F4B"/>
    <w:rsid w:val="000A06A5"/>
    <w:rsid w:val="000A0CBC"/>
    <w:rsid w:val="000A0D9A"/>
    <w:rsid w:val="000A29F5"/>
    <w:rsid w:val="000A3362"/>
    <w:rsid w:val="000A390F"/>
    <w:rsid w:val="000A3FB9"/>
    <w:rsid w:val="000A5E65"/>
    <w:rsid w:val="000A6448"/>
    <w:rsid w:val="000A7E5D"/>
    <w:rsid w:val="000B0503"/>
    <w:rsid w:val="000B0573"/>
    <w:rsid w:val="000B0C95"/>
    <w:rsid w:val="000B3575"/>
    <w:rsid w:val="000B37D0"/>
    <w:rsid w:val="000B40AB"/>
    <w:rsid w:val="000B4882"/>
    <w:rsid w:val="000B488B"/>
    <w:rsid w:val="000B50D6"/>
    <w:rsid w:val="000B5ABE"/>
    <w:rsid w:val="000B6726"/>
    <w:rsid w:val="000B69C4"/>
    <w:rsid w:val="000B72A5"/>
    <w:rsid w:val="000C0C63"/>
    <w:rsid w:val="000C103A"/>
    <w:rsid w:val="000C15E5"/>
    <w:rsid w:val="000C18A0"/>
    <w:rsid w:val="000C19E7"/>
    <w:rsid w:val="000C24D4"/>
    <w:rsid w:val="000C3C4B"/>
    <w:rsid w:val="000C50F4"/>
    <w:rsid w:val="000C5348"/>
    <w:rsid w:val="000C56F5"/>
    <w:rsid w:val="000C67A7"/>
    <w:rsid w:val="000C6D2E"/>
    <w:rsid w:val="000C791B"/>
    <w:rsid w:val="000D09B6"/>
    <w:rsid w:val="000D141F"/>
    <w:rsid w:val="000D1B25"/>
    <w:rsid w:val="000D2EC7"/>
    <w:rsid w:val="000D518A"/>
    <w:rsid w:val="000D6473"/>
    <w:rsid w:val="000D7492"/>
    <w:rsid w:val="000D76CD"/>
    <w:rsid w:val="000D787B"/>
    <w:rsid w:val="000D7E85"/>
    <w:rsid w:val="000E0AE9"/>
    <w:rsid w:val="000E1282"/>
    <w:rsid w:val="000E209A"/>
    <w:rsid w:val="000E2171"/>
    <w:rsid w:val="000E257F"/>
    <w:rsid w:val="000E2698"/>
    <w:rsid w:val="000E3D2E"/>
    <w:rsid w:val="000E41B8"/>
    <w:rsid w:val="000E4FF1"/>
    <w:rsid w:val="000E640F"/>
    <w:rsid w:val="000E6F1C"/>
    <w:rsid w:val="000E7BF8"/>
    <w:rsid w:val="000F03E0"/>
    <w:rsid w:val="000F0B66"/>
    <w:rsid w:val="000F0DFF"/>
    <w:rsid w:val="000F0EAA"/>
    <w:rsid w:val="000F35EA"/>
    <w:rsid w:val="000F3B44"/>
    <w:rsid w:val="000F4524"/>
    <w:rsid w:val="000F4D4B"/>
    <w:rsid w:val="000F6411"/>
    <w:rsid w:val="000F6EE1"/>
    <w:rsid w:val="000F7237"/>
    <w:rsid w:val="000F798B"/>
    <w:rsid w:val="000F7C7F"/>
    <w:rsid w:val="00100C8A"/>
    <w:rsid w:val="00102310"/>
    <w:rsid w:val="00102450"/>
    <w:rsid w:val="001026DB"/>
    <w:rsid w:val="00103390"/>
    <w:rsid w:val="00103762"/>
    <w:rsid w:val="00105F08"/>
    <w:rsid w:val="00110B48"/>
    <w:rsid w:val="001129F3"/>
    <w:rsid w:val="00112BF0"/>
    <w:rsid w:val="00112EB3"/>
    <w:rsid w:val="001130A2"/>
    <w:rsid w:val="00113CD9"/>
    <w:rsid w:val="00114C8D"/>
    <w:rsid w:val="00115273"/>
    <w:rsid w:val="001153EB"/>
    <w:rsid w:val="00115520"/>
    <w:rsid w:val="00115CB5"/>
    <w:rsid w:val="001170FF"/>
    <w:rsid w:val="00117652"/>
    <w:rsid w:val="00121950"/>
    <w:rsid w:val="001224D9"/>
    <w:rsid w:val="0012296B"/>
    <w:rsid w:val="00122AC5"/>
    <w:rsid w:val="0012322E"/>
    <w:rsid w:val="001236F7"/>
    <w:rsid w:val="00123C08"/>
    <w:rsid w:val="00123D36"/>
    <w:rsid w:val="00123D74"/>
    <w:rsid w:val="0012476C"/>
    <w:rsid w:val="001256F5"/>
    <w:rsid w:val="001257DF"/>
    <w:rsid w:val="001265A1"/>
    <w:rsid w:val="0012674B"/>
    <w:rsid w:val="001268D9"/>
    <w:rsid w:val="00126966"/>
    <w:rsid w:val="001275F8"/>
    <w:rsid w:val="0013007A"/>
    <w:rsid w:val="00130869"/>
    <w:rsid w:val="00130E8B"/>
    <w:rsid w:val="001316D7"/>
    <w:rsid w:val="001316F6"/>
    <w:rsid w:val="0013271C"/>
    <w:rsid w:val="001329DD"/>
    <w:rsid w:val="00132F20"/>
    <w:rsid w:val="00133570"/>
    <w:rsid w:val="00134A4E"/>
    <w:rsid w:val="00134A97"/>
    <w:rsid w:val="00135E33"/>
    <w:rsid w:val="00135F63"/>
    <w:rsid w:val="001365B3"/>
    <w:rsid w:val="00136DAC"/>
    <w:rsid w:val="00137360"/>
    <w:rsid w:val="001407BA"/>
    <w:rsid w:val="00140CA2"/>
    <w:rsid w:val="00141178"/>
    <w:rsid w:val="001414CB"/>
    <w:rsid w:val="001417EA"/>
    <w:rsid w:val="00141C52"/>
    <w:rsid w:val="001430A8"/>
    <w:rsid w:val="00143200"/>
    <w:rsid w:val="001436D8"/>
    <w:rsid w:val="00143870"/>
    <w:rsid w:val="00143B16"/>
    <w:rsid w:val="00144B03"/>
    <w:rsid w:val="00144B28"/>
    <w:rsid w:val="00144B9D"/>
    <w:rsid w:val="001459B6"/>
    <w:rsid w:val="00145C28"/>
    <w:rsid w:val="00146029"/>
    <w:rsid w:val="00146588"/>
    <w:rsid w:val="00146EEF"/>
    <w:rsid w:val="0014719B"/>
    <w:rsid w:val="00147DFB"/>
    <w:rsid w:val="00151072"/>
    <w:rsid w:val="00151C0B"/>
    <w:rsid w:val="00151D25"/>
    <w:rsid w:val="00152623"/>
    <w:rsid w:val="00153698"/>
    <w:rsid w:val="00154A1D"/>
    <w:rsid w:val="00154B70"/>
    <w:rsid w:val="00154B82"/>
    <w:rsid w:val="00155200"/>
    <w:rsid w:val="00155B60"/>
    <w:rsid w:val="00155D60"/>
    <w:rsid w:val="00156066"/>
    <w:rsid w:val="00156DE0"/>
    <w:rsid w:val="00157CE6"/>
    <w:rsid w:val="00157F9D"/>
    <w:rsid w:val="00160415"/>
    <w:rsid w:val="001615A4"/>
    <w:rsid w:val="0016164D"/>
    <w:rsid w:val="00161882"/>
    <w:rsid w:val="0016234D"/>
    <w:rsid w:val="00162C24"/>
    <w:rsid w:val="00164099"/>
    <w:rsid w:val="00164D19"/>
    <w:rsid w:val="001666B3"/>
    <w:rsid w:val="00170214"/>
    <w:rsid w:val="001703C2"/>
    <w:rsid w:val="0017080E"/>
    <w:rsid w:val="001708E7"/>
    <w:rsid w:val="00171343"/>
    <w:rsid w:val="001715AE"/>
    <w:rsid w:val="00171A0B"/>
    <w:rsid w:val="00172373"/>
    <w:rsid w:val="0017273B"/>
    <w:rsid w:val="001738B3"/>
    <w:rsid w:val="001746AF"/>
    <w:rsid w:val="001747A9"/>
    <w:rsid w:val="0017543C"/>
    <w:rsid w:val="0017553B"/>
    <w:rsid w:val="0017636C"/>
    <w:rsid w:val="00176ED8"/>
    <w:rsid w:val="00176F9A"/>
    <w:rsid w:val="00177718"/>
    <w:rsid w:val="0017773A"/>
    <w:rsid w:val="0018045B"/>
    <w:rsid w:val="00181228"/>
    <w:rsid w:val="001821C3"/>
    <w:rsid w:val="0018246B"/>
    <w:rsid w:val="00183900"/>
    <w:rsid w:val="0018520D"/>
    <w:rsid w:val="00185A10"/>
    <w:rsid w:val="00185EC4"/>
    <w:rsid w:val="0018636B"/>
    <w:rsid w:val="001906A8"/>
    <w:rsid w:val="00191141"/>
    <w:rsid w:val="0019149C"/>
    <w:rsid w:val="001914BE"/>
    <w:rsid w:val="00191FE7"/>
    <w:rsid w:val="001930E1"/>
    <w:rsid w:val="001932B8"/>
    <w:rsid w:val="00193442"/>
    <w:rsid w:val="00193900"/>
    <w:rsid w:val="001941AC"/>
    <w:rsid w:val="00194851"/>
    <w:rsid w:val="00195F1F"/>
    <w:rsid w:val="001964B3"/>
    <w:rsid w:val="001965E6"/>
    <w:rsid w:val="00197219"/>
    <w:rsid w:val="00197C10"/>
    <w:rsid w:val="00197E58"/>
    <w:rsid w:val="001A016D"/>
    <w:rsid w:val="001A0F60"/>
    <w:rsid w:val="001A1808"/>
    <w:rsid w:val="001A35BB"/>
    <w:rsid w:val="001A39A9"/>
    <w:rsid w:val="001A459A"/>
    <w:rsid w:val="001A531F"/>
    <w:rsid w:val="001A5ED5"/>
    <w:rsid w:val="001A6FFD"/>
    <w:rsid w:val="001A7A43"/>
    <w:rsid w:val="001A7ADF"/>
    <w:rsid w:val="001B06C6"/>
    <w:rsid w:val="001B0C1B"/>
    <w:rsid w:val="001B1063"/>
    <w:rsid w:val="001B1274"/>
    <w:rsid w:val="001B29C8"/>
    <w:rsid w:val="001B2BBD"/>
    <w:rsid w:val="001B2BF1"/>
    <w:rsid w:val="001B31CA"/>
    <w:rsid w:val="001B36C6"/>
    <w:rsid w:val="001B3C4A"/>
    <w:rsid w:val="001B448B"/>
    <w:rsid w:val="001B4DA7"/>
    <w:rsid w:val="001B6499"/>
    <w:rsid w:val="001B7054"/>
    <w:rsid w:val="001B7782"/>
    <w:rsid w:val="001B7C7E"/>
    <w:rsid w:val="001C061E"/>
    <w:rsid w:val="001C0795"/>
    <w:rsid w:val="001C0B5C"/>
    <w:rsid w:val="001C147C"/>
    <w:rsid w:val="001C2013"/>
    <w:rsid w:val="001C224D"/>
    <w:rsid w:val="001C28A8"/>
    <w:rsid w:val="001C2C6D"/>
    <w:rsid w:val="001C2F3D"/>
    <w:rsid w:val="001C3ED6"/>
    <w:rsid w:val="001C3F10"/>
    <w:rsid w:val="001C469A"/>
    <w:rsid w:val="001C612F"/>
    <w:rsid w:val="001C6F20"/>
    <w:rsid w:val="001C7FC6"/>
    <w:rsid w:val="001D1AF2"/>
    <w:rsid w:val="001D2B7F"/>
    <w:rsid w:val="001D2C9C"/>
    <w:rsid w:val="001D2FBB"/>
    <w:rsid w:val="001D34AE"/>
    <w:rsid w:val="001D4266"/>
    <w:rsid w:val="001D46E2"/>
    <w:rsid w:val="001D51CB"/>
    <w:rsid w:val="001D60FD"/>
    <w:rsid w:val="001D7989"/>
    <w:rsid w:val="001D7C41"/>
    <w:rsid w:val="001E02C6"/>
    <w:rsid w:val="001E13C5"/>
    <w:rsid w:val="001E1514"/>
    <w:rsid w:val="001E2B99"/>
    <w:rsid w:val="001E2CE9"/>
    <w:rsid w:val="001E3B52"/>
    <w:rsid w:val="001E3FB5"/>
    <w:rsid w:val="001E43A9"/>
    <w:rsid w:val="001E44B9"/>
    <w:rsid w:val="001E4F7C"/>
    <w:rsid w:val="001E4FCF"/>
    <w:rsid w:val="001E58E3"/>
    <w:rsid w:val="001E6F81"/>
    <w:rsid w:val="001E7B9E"/>
    <w:rsid w:val="001F0ADF"/>
    <w:rsid w:val="001F19EB"/>
    <w:rsid w:val="001F201E"/>
    <w:rsid w:val="001F3351"/>
    <w:rsid w:val="001F3A40"/>
    <w:rsid w:val="001F47C8"/>
    <w:rsid w:val="001F48A8"/>
    <w:rsid w:val="001F50E0"/>
    <w:rsid w:val="001F588F"/>
    <w:rsid w:val="001F5D08"/>
    <w:rsid w:val="001F6B11"/>
    <w:rsid w:val="001F753A"/>
    <w:rsid w:val="00200135"/>
    <w:rsid w:val="00202BBF"/>
    <w:rsid w:val="00202DC8"/>
    <w:rsid w:val="00202E80"/>
    <w:rsid w:val="002034E5"/>
    <w:rsid w:val="00203A74"/>
    <w:rsid w:val="002043E4"/>
    <w:rsid w:val="00204E69"/>
    <w:rsid w:val="002054F9"/>
    <w:rsid w:val="00205C76"/>
    <w:rsid w:val="00205CA0"/>
    <w:rsid w:val="00205E93"/>
    <w:rsid w:val="002060BF"/>
    <w:rsid w:val="002061DB"/>
    <w:rsid w:val="00206AAE"/>
    <w:rsid w:val="00206EC0"/>
    <w:rsid w:val="0020740C"/>
    <w:rsid w:val="00207A34"/>
    <w:rsid w:val="00210BB8"/>
    <w:rsid w:val="00211265"/>
    <w:rsid w:val="002119BF"/>
    <w:rsid w:val="002123DB"/>
    <w:rsid w:val="00212B1B"/>
    <w:rsid w:val="00214740"/>
    <w:rsid w:val="0021478A"/>
    <w:rsid w:val="00214A1E"/>
    <w:rsid w:val="00214DD5"/>
    <w:rsid w:val="00216951"/>
    <w:rsid w:val="00217C1F"/>
    <w:rsid w:val="00217F1C"/>
    <w:rsid w:val="002202BB"/>
    <w:rsid w:val="0022085F"/>
    <w:rsid w:val="00220FEB"/>
    <w:rsid w:val="00221988"/>
    <w:rsid w:val="00222784"/>
    <w:rsid w:val="00222F76"/>
    <w:rsid w:val="002241BD"/>
    <w:rsid w:val="0022495E"/>
    <w:rsid w:val="00224A46"/>
    <w:rsid w:val="00224D21"/>
    <w:rsid w:val="00231F92"/>
    <w:rsid w:val="002325AC"/>
    <w:rsid w:val="00232C2C"/>
    <w:rsid w:val="002334E6"/>
    <w:rsid w:val="00233775"/>
    <w:rsid w:val="002347B3"/>
    <w:rsid w:val="00234DE6"/>
    <w:rsid w:val="0023524D"/>
    <w:rsid w:val="0023557C"/>
    <w:rsid w:val="00235F92"/>
    <w:rsid w:val="00236340"/>
    <w:rsid w:val="00236E90"/>
    <w:rsid w:val="0023739B"/>
    <w:rsid w:val="0024105D"/>
    <w:rsid w:val="002411EE"/>
    <w:rsid w:val="00241290"/>
    <w:rsid w:val="00241C6D"/>
    <w:rsid w:val="00241DF7"/>
    <w:rsid w:val="00241F1F"/>
    <w:rsid w:val="0024346C"/>
    <w:rsid w:val="00243549"/>
    <w:rsid w:val="002455A4"/>
    <w:rsid w:val="002465D1"/>
    <w:rsid w:val="002467A7"/>
    <w:rsid w:val="0024692D"/>
    <w:rsid w:val="00247202"/>
    <w:rsid w:val="002474B9"/>
    <w:rsid w:val="002505FB"/>
    <w:rsid w:val="0025064E"/>
    <w:rsid w:val="00254235"/>
    <w:rsid w:val="00254CD8"/>
    <w:rsid w:val="00254CF1"/>
    <w:rsid w:val="002553D3"/>
    <w:rsid w:val="00255EC9"/>
    <w:rsid w:val="00256C63"/>
    <w:rsid w:val="00256F73"/>
    <w:rsid w:val="002574A6"/>
    <w:rsid w:val="00257BBD"/>
    <w:rsid w:val="00260438"/>
    <w:rsid w:val="00260FCD"/>
    <w:rsid w:val="00261226"/>
    <w:rsid w:val="00262C4D"/>
    <w:rsid w:val="00263270"/>
    <w:rsid w:val="00263915"/>
    <w:rsid w:val="00264916"/>
    <w:rsid w:val="00264E74"/>
    <w:rsid w:val="00265082"/>
    <w:rsid w:val="00265A72"/>
    <w:rsid w:val="002663EA"/>
    <w:rsid w:val="0026756C"/>
    <w:rsid w:val="002676E2"/>
    <w:rsid w:val="00267FA7"/>
    <w:rsid w:val="00270AFD"/>
    <w:rsid w:val="00270CB7"/>
    <w:rsid w:val="00271C01"/>
    <w:rsid w:val="00271D70"/>
    <w:rsid w:val="00273844"/>
    <w:rsid w:val="00273F63"/>
    <w:rsid w:val="00274854"/>
    <w:rsid w:val="002749F7"/>
    <w:rsid w:val="00275121"/>
    <w:rsid w:val="002753B5"/>
    <w:rsid w:val="0027717C"/>
    <w:rsid w:val="0027751C"/>
    <w:rsid w:val="0028065C"/>
    <w:rsid w:val="002806D6"/>
    <w:rsid w:val="00280C0A"/>
    <w:rsid w:val="00281F74"/>
    <w:rsid w:val="00282778"/>
    <w:rsid w:val="0028289B"/>
    <w:rsid w:val="00282B35"/>
    <w:rsid w:val="002836AC"/>
    <w:rsid w:val="00285937"/>
    <w:rsid w:val="002867AA"/>
    <w:rsid w:val="002868D5"/>
    <w:rsid w:val="00286AEF"/>
    <w:rsid w:val="00286C20"/>
    <w:rsid w:val="0028775D"/>
    <w:rsid w:val="00290A0F"/>
    <w:rsid w:val="00291B19"/>
    <w:rsid w:val="00292341"/>
    <w:rsid w:val="00292B58"/>
    <w:rsid w:val="00292C4B"/>
    <w:rsid w:val="002944F6"/>
    <w:rsid w:val="00294DE6"/>
    <w:rsid w:val="00295348"/>
    <w:rsid w:val="00297330"/>
    <w:rsid w:val="002978C0"/>
    <w:rsid w:val="002A00D8"/>
    <w:rsid w:val="002A0BCE"/>
    <w:rsid w:val="002A17EB"/>
    <w:rsid w:val="002A1944"/>
    <w:rsid w:val="002A1BF6"/>
    <w:rsid w:val="002A3613"/>
    <w:rsid w:val="002A372B"/>
    <w:rsid w:val="002A400A"/>
    <w:rsid w:val="002A5A04"/>
    <w:rsid w:val="002A5DEB"/>
    <w:rsid w:val="002A5F4C"/>
    <w:rsid w:val="002A6044"/>
    <w:rsid w:val="002A6E25"/>
    <w:rsid w:val="002A6E97"/>
    <w:rsid w:val="002A73B2"/>
    <w:rsid w:val="002A762A"/>
    <w:rsid w:val="002B07A1"/>
    <w:rsid w:val="002B0C0F"/>
    <w:rsid w:val="002B0F26"/>
    <w:rsid w:val="002B10A2"/>
    <w:rsid w:val="002B3004"/>
    <w:rsid w:val="002B3AB8"/>
    <w:rsid w:val="002B66F9"/>
    <w:rsid w:val="002C046D"/>
    <w:rsid w:val="002C0CC2"/>
    <w:rsid w:val="002C106C"/>
    <w:rsid w:val="002C1BB3"/>
    <w:rsid w:val="002C1F66"/>
    <w:rsid w:val="002C22EC"/>
    <w:rsid w:val="002C5ABE"/>
    <w:rsid w:val="002C7367"/>
    <w:rsid w:val="002C7D69"/>
    <w:rsid w:val="002D0E08"/>
    <w:rsid w:val="002D16FA"/>
    <w:rsid w:val="002D337A"/>
    <w:rsid w:val="002D34CE"/>
    <w:rsid w:val="002D376D"/>
    <w:rsid w:val="002D564B"/>
    <w:rsid w:val="002D58E1"/>
    <w:rsid w:val="002D6B9F"/>
    <w:rsid w:val="002D6C88"/>
    <w:rsid w:val="002D7097"/>
    <w:rsid w:val="002D7925"/>
    <w:rsid w:val="002D7E9F"/>
    <w:rsid w:val="002E161D"/>
    <w:rsid w:val="002E1BA3"/>
    <w:rsid w:val="002E27C6"/>
    <w:rsid w:val="002E554F"/>
    <w:rsid w:val="002E6353"/>
    <w:rsid w:val="002F01D5"/>
    <w:rsid w:val="002F02D3"/>
    <w:rsid w:val="002F0403"/>
    <w:rsid w:val="002F0686"/>
    <w:rsid w:val="002F0E46"/>
    <w:rsid w:val="002F1241"/>
    <w:rsid w:val="002F14CD"/>
    <w:rsid w:val="002F203C"/>
    <w:rsid w:val="002F28B4"/>
    <w:rsid w:val="002F38AF"/>
    <w:rsid w:val="002F4E9C"/>
    <w:rsid w:val="002F5AB6"/>
    <w:rsid w:val="002F5AD6"/>
    <w:rsid w:val="002F5BDE"/>
    <w:rsid w:val="002F6019"/>
    <w:rsid w:val="002F6EB6"/>
    <w:rsid w:val="00301409"/>
    <w:rsid w:val="00302194"/>
    <w:rsid w:val="00302CA1"/>
    <w:rsid w:val="00302E15"/>
    <w:rsid w:val="00303430"/>
    <w:rsid w:val="00303F87"/>
    <w:rsid w:val="0030540B"/>
    <w:rsid w:val="0030702B"/>
    <w:rsid w:val="00307945"/>
    <w:rsid w:val="00307DE8"/>
    <w:rsid w:val="003109A0"/>
    <w:rsid w:val="00312E28"/>
    <w:rsid w:val="00312FDC"/>
    <w:rsid w:val="00313499"/>
    <w:rsid w:val="003141B8"/>
    <w:rsid w:val="003143CE"/>
    <w:rsid w:val="00314BDE"/>
    <w:rsid w:val="0031586F"/>
    <w:rsid w:val="00316364"/>
    <w:rsid w:val="003167B4"/>
    <w:rsid w:val="00316D63"/>
    <w:rsid w:val="0031747A"/>
    <w:rsid w:val="00317751"/>
    <w:rsid w:val="0032138F"/>
    <w:rsid w:val="003216FE"/>
    <w:rsid w:val="00322AB5"/>
    <w:rsid w:val="00322B42"/>
    <w:rsid w:val="00325A9C"/>
    <w:rsid w:val="00325E7E"/>
    <w:rsid w:val="003269F0"/>
    <w:rsid w:val="003271B4"/>
    <w:rsid w:val="00331B2C"/>
    <w:rsid w:val="00331B97"/>
    <w:rsid w:val="00331C1C"/>
    <w:rsid w:val="00331E2B"/>
    <w:rsid w:val="003327A0"/>
    <w:rsid w:val="00332814"/>
    <w:rsid w:val="0033288B"/>
    <w:rsid w:val="00332986"/>
    <w:rsid w:val="0033333C"/>
    <w:rsid w:val="00334900"/>
    <w:rsid w:val="0033497B"/>
    <w:rsid w:val="0033517E"/>
    <w:rsid w:val="0033677C"/>
    <w:rsid w:val="00336810"/>
    <w:rsid w:val="00337E3C"/>
    <w:rsid w:val="00341B08"/>
    <w:rsid w:val="00341B6C"/>
    <w:rsid w:val="0034474F"/>
    <w:rsid w:val="00344E75"/>
    <w:rsid w:val="00345C07"/>
    <w:rsid w:val="00345C30"/>
    <w:rsid w:val="00345F80"/>
    <w:rsid w:val="00345FFE"/>
    <w:rsid w:val="00346B2B"/>
    <w:rsid w:val="00346F20"/>
    <w:rsid w:val="00347655"/>
    <w:rsid w:val="00350AA8"/>
    <w:rsid w:val="00350C0F"/>
    <w:rsid w:val="0035110C"/>
    <w:rsid w:val="003513D1"/>
    <w:rsid w:val="003513EC"/>
    <w:rsid w:val="00352243"/>
    <w:rsid w:val="00352426"/>
    <w:rsid w:val="00352CFC"/>
    <w:rsid w:val="00353041"/>
    <w:rsid w:val="00355320"/>
    <w:rsid w:val="00356211"/>
    <w:rsid w:val="003565B2"/>
    <w:rsid w:val="00356E05"/>
    <w:rsid w:val="003573AD"/>
    <w:rsid w:val="003606C4"/>
    <w:rsid w:val="00361FAC"/>
    <w:rsid w:val="003622FB"/>
    <w:rsid w:val="00362A1B"/>
    <w:rsid w:val="00363247"/>
    <w:rsid w:val="00364C92"/>
    <w:rsid w:val="003651FA"/>
    <w:rsid w:val="003654F4"/>
    <w:rsid w:val="00366027"/>
    <w:rsid w:val="00367579"/>
    <w:rsid w:val="0037014B"/>
    <w:rsid w:val="00370889"/>
    <w:rsid w:val="00370E81"/>
    <w:rsid w:val="003714C6"/>
    <w:rsid w:val="00371987"/>
    <w:rsid w:val="00373108"/>
    <w:rsid w:val="003744D3"/>
    <w:rsid w:val="003746A0"/>
    <w:rsid w:val="00374EF7"/>
    <w:rsid w:val="00375A2A"/>
    <w:rsid w:val="00375D93"/>
    <w:rsid w:val="0037683F"/>
    <w:rsid w:val="00377D61"/>
    <w:rsid w:val="00383B2B"/>
    <w:rsid w:val="00384A06"/>
    <w:rsid w:val="0038537E"/>
    <w:rsid w:val="00385AC0"/>
    <w:rsid w:val="003861EE"/>
    <w:rsid w:val="0038629A"/>
    <w:rsid w:val="003866C5"/>
    <w:rsid w:val="003872F7"/>
    <w:rsid w:val="0038731D"/>
    <w:rsid w:val="003878AA"/>
    <w:rsid w:val="00392033"/>
    <w:rsid w:val="0039288C"/>
    <w:rsid w:val="00392B27"/>
    <w:rsid w:val="00392CB8"/>
    <w:rsid w:val="003938CE"/>
    <w:rsid w:val="0039420E"/>
    <w:rsid w:val="00394563"/>
    <w:rsid w:val="00394899"/>
    <w:rsid w:val="00394A98"/>
    <w:rsid w:val="00394D75"/>
    <w:rsid w:val="00395169"/>
    <w:rsid w:val="003957E9"/>
    <w:rsid w:val="003A0202"/>
    <w:rsid w:val="003A028A"/>
    <w:rsid w:val="003A03A9"/>
    <w:rsid w:val="003A0BC3"/>
    <w:rsid w:val="003A0EF2"/>
    <w:rsid w:val="003A2393"/>
    <w:rsid w:val="003A2F26"/>
    <w:rsid w:val="003A378F"/>
    <w:rsid w:val="003A46B9"/>
    <w:rsid w:val="003A4FFC"/>
    <w:rsid w:val="003A500C"/>
    <w:rsid w:val="003B0BA7"/>
    <w:rsid w:val="003B12D1"/>
    <w:rsid w:val="003B15EA"/>
    <w:rsid w:val="003B2326"/>
    <w:rsid w:val="003B23EC"/>
    <w:rsid w:val="003B2AE7"/>
    <w:rsid w:val="003B35B7"/>
    <w:rsid w:val="003B4257"/>
    <w:rsid w:val="003B4BC7"/>
    <w:rsid w:val="003B6035"/>
    <w:rsid w:val="003B62DB"/>
    <w:rsid w:val="003B75F1"/>
    <w:rsid w:val="003B7FDA"/>
    <w:rsid w:val="003C0276"/>
    <w:rsid w:val="003C0482"/>
    <w:rsid w:val="003C0B76"/>
    <w:rsid w:val="003C100F"/>
    <w:rsid w:val="003C1B80"/>
    <w:rsid w:val="003C1C2A"/>
    <w:rsid w:val="003C203B"/>
    <w:rsid w:val="003C2560"/>
    <w:rsid w:val="003C3F4C"/>
    <w:rsid w:val="003C427A"/>
    <w:rsid w:val="003C42D6"/>
    <w:rsid w:val="003C48CC"/>
    <w:rsid w:val="003C4FF2"/>
    <w:rsid w:val="003C51B1"/>
    <w:rsid w:val="003C704D"/>
    <w:rsid w:val="003C725C"/>
    <w:rsid w:val="003D06B4"/>
    <w:rsid w:val="003D07F2"/>
    <w:rsid w:val="003D118B"/>
    <w:rsid w:val="003D2709"/>
    <w:rsid w:val="003D3074"/>
    <w:rsid w:val="003D45D2"/>
    <w:rsid w:val="003D489E"/>
    <w:rsid w:val="003D501E"/>
    <w:rsid w:val="003D58A2"/>
    <w:rsid w:val="003D6B9D"/>
    <w:rsid w:val="003D794D"/>
    <w:rsid w:val="003D7E5C"/>
    <w:rsid w:val="003E111F"/>
    <w:rsid w:val="003E1A6F"/>
    <w:rsid w:val="003E2C4C"/>
    <w:rsid w:val="003E400F"/>
    <w:rsid w:val="003E47AC"/>
    <w:rsid w:val="003E4DD6"/>
    <w:rsid w:val="003E58A0"/>
    <w:rsid w:val="003E647F"/>
    <w:rsid w:val="003E6496"/>
    <w:rsid w:val="003E7459"/>
    <w:rsid w:val="003F0079"/>
    <w:rsid w:val="003F05C6"/>
    <w:rsid w:val="003F1766"/>
    <w:rsid w:val="003F17A2"/>
    <w:rsid w:val="003F266A"/>
    <w:rsid w:val="003F3857"/>
    <w:rsid w:val="003F4621"/>
    <w:rsid w:val="003F48B1"/>
    <w:rsid w:val="003F6C3F"/>
    <w:rsid w:val="003F6E6F"/>
    <w:rsid w:val="00400401"/>
    <w:rsid w:val="00400DC8"/>
    <w:rsid w:val="00401948"/>
    <w:rsid w:val="00401D08"/>
    <w:rsid w:val="00401DAB"/>
    <w:rsid w:val="00401F23"/>
    <w:rsid w:val="00401F69"/>
    <w:rsid w:val="00402500"/>
    <w:rsid w:val="00402545"/>
    <w:rsid w:val="00402728"/>
    <w:rsid w:val="00403479"/>
    <w:rsid w:val="00406215"/>
    <w:rsid w:val="00410BEB"/>
    <w:rsid w:val="00410D48"/>
    <w:rsid w:val="004112FF"/>
    <w:rsid w:val="004118F3"/>
    <w:rsid w:val="004119EE"/>
    <w:rsid w:val="00411CB3"/>
    <w:rsid w:val="00412AA3"/>
    <w:rsid w:val="00412D07"/>
    <w:rsid w:val="004137DF"/>
    <w:rsid w:val="0041510B"/>
    <w:rsid w:val="004201C3"/>
    <w:rsid w:val="00420EDB"/>
    <w:rsid w:val="00421041"/>
    <w:rsid w:val="00422ADC"/>
    <w:rsid w:val="00422F77"/>
    <w:rsid w:val="00423075"/>
    <w:rsid w:val="00423E3D"/>
    <w:rsid w:val="00423F40"/>
    <w:rsid w:val="004254ED"/>
    <w:rsid w:val="00425550"/>
    <w:rsid w:val="0042645F"/>
    <w:rsid w:val="004264FD"/>
    <w:rsid w:val="004272DE"/>
    <w:rsid w:val="004274CC"/>
    <w:rsid w:val="00430167"/>
    <w:rsid w:val="00430FB7"/>
    <w:rsid w:val="00431C1E"/>
    <w:rsid w:val="004327E5"/>
    <w:rsid w:val="004332FB"/>
    <w:rsid w:val="00435214"/>
    <w:rsid w:val="0043599C"/>
    <w:rsid w:val="00435C00"/>
    <w:rsid w:val="0043659A"/>
    <w:rsid w:val="00436D85"/>
    <w:rsid w:val="00437B7A"/>
    <w:rsid w:val="00437DAE"/>
    <w:rsid w:val="0044016E"/>
    <w:rsid w:val="00440A19"/>
    <w:rsid w:val="00440C4B"/>
    <w:rsid w:val="004411FE"/>
    <w:rsid w:val="004441B0"/>
    <w:rsid w:val="00444205"/>
    <w:rsid w:val="00444C56"/>
    <w:rsid w:val="00444FA9"/>
    <w:rsid w:val="00445554"/>
    <w:rsid w:val="0044568D"/>
    <w:rsid w:val="00445E4E"/>
    <w:rsid w:val="00446308"/>
    <w:rsid w:val="00446A98"/>
    <w:rsid w:val="00447186"/>
    <w:rsid w:val="00447B2C"/>
    <w:rsid w:val="004521C5"/>
    <w:rsid w:val="004528C2"/>
    <w:rsid w:val="004531FB"/>
    <w:rsid w:val="004539A3"/>
    <w:rsid w:val="00453CFD"/>
    <w:rsid w:val="00453E03"/>
    <w:rsid w:val="004548AB"/>
    <w:rsid w:val="00454EF0"/>
    <w:rsid w:val="00455952"/>
    <w:rsid w:val="004566D7"/>
    <w:rsid w:val="00457BB0"/>
    <w:rsid w:val="00457BEC"/>
    <w:rsid w:val="00460988"/>
    <w:rsid w:val="00460E2E"/>
    <w:rsid w:val="00461CEA"/>
    <w:rsid w:val="00462A9A"/>
    <w:rsid w:val="00463B3E"/>
    <w:rsid w:val="00463BF8"/>
    <w:rsid w:val="00464200"/>
    <w:rsid w:val="00464573"/>
    <w:rsid w:val="004647C0"/>
    <w:rsid w:val="004648FE"/>
    <w:rsid w:val="00464D73"/>
    <w:rsid w:val="00464F86"/>
    <w:rsid w:val="00465178"/>
    <w:rsid w:val="00465589"/>
    <w:rsid w:val="0046610D"/>
    <w:rsid w:val="0046639F"/>
    <w:rsid w:val="00466D17"/>
    <w:rsid w:val="00466EB1"/>
    <w:rsid w:val="00467550"/>
    <w:rsid w:val="00467B1A"/>
    <w:rsid w:val="00470443"/>
    <w:rsid w:val="004723A4"/>
    <w:rsid w:val="00474106"/>
    <w:rsid w:val="00474C96"/>
    <w:rsid w:val="00475167"/>
    <w:rsid w:val="004773CE"/>
    <w:rsid w:val="00480005"/>
    <w:rsid w:val="004801C8"/>
    <w:rsid w:val="004808FB"/>
    <w:rsid w:val="00482AEB"/>
    <w:rsid w:val="004841E1"/>
    <w:rsid w:val="00484654"/>
    <w:rsid w:val="00484F1C"/>
    <w:rsid w:val="00485E6F"/>
    <w:rsid w:val="004878B8"/>
    <w:rsid w:val="0049029B"/>
    <w:rsid w:val="004938DD"/>
    <w:rsid w:val="0049464C"/>
    <w:rsid w:val="0049553F"/>
    <w:rsid w:val="00495E95"/>
    <w:rsid w:val="00495FCE"/>
    <w:rsid w:val="0049658D"/>
    <w:rsid w:val="00497A37"/>
    <w:rsid w:val="004A04AC"/>
    <w:rsid w:val="004A095A"/>
    <w:rsid w:val="004A12A8"/>
    <w:rsid w:val="004A186F"/>
    <w:rsid w:val="004A1B9A"/>
    <w:rsid w:val="004A1DDF"/>
    <w:rsid w:val="004A1FDA"/>
    <w:rsid w:val="004A23CB"/>
    <w:rsid w:val="004A2740"/>
    <w:rsid w:val="004A2C60"/>
    <w:rsid w:val="004A47E2"/>
    <w:rsid w:val="004A5675"/>
    <w:rsid w:val="004A57CE"/>
    <w:rsid w:val="004A5BF0"/>
    <w:rsid w:val="004A634E"/>
    <w:rsid w:val="004A7C9D"/>
    <w:rsid w:val="004B0218"/>
    <w:rsid w:val="004B0A06"/>
    <w:rsid w:val="004B1569"/>
    <w:rsid w:val="004B1687"/>
    <w:rsid w:val="004B2D87"/>
    <w:rsid w:val="004B35C7"/>
    <w:rsid w:val="004B3929"/>
    <w:rsid w:val="004B49D3"/>
    <w:rsid w:val="004B4BDB"/>
    <w:rsid w:val="004B66EF"/>
    <w:rsid w:val="004B6EC1"/>
    <w:rsid w:val="004C0D35"/>
    <w:rsid w:val="004C0DB0"/>
    <w:rsid w:val="004C1094"/>
    <w:rsid w:val="004C1825"/>
    <w:rsid w:val="004C288F"/>
    <w:rsid w:val="004C29EE"/>
    <w:rsid w:val="004C3DB1"/>
    <w:rsid w:val="004C453E"/>
    <w:rsid w:val="004C517B"/>
    <w:rsid w:val="004C60A2"/>
    <w:rsid w:val="004C6627"/>
    <w:rsid w:val="004C678A"/>
    <w:rsid w:val="004D029D"/>
    <w:rsid w:val="004D1516"/>
    <w:rsid w:val="004D23FB"/>
    <w:rsid w:val="004D2579"/>
    <w:rsid w:val="004D283A"/>
    <w:rsid w:val="004D2A49"/>
    <w:rsid w:val="004D3951"/>
    <w:rsid w:val="004D397F"/>
    <w:rsid w:val="004D3A81"/>
    <w:rsid w:val="004D403C"/>
    <w:rsid w:val="004D47F7"/>
    <w:rsid w:val="004D587E"/>
    <w:rsid w:val="004D5F89"/>
    <w:rsid w:val="004D7943"/>
    <w:rsid w:val="004E1F15"/>
    <w:rsid w:val="004E2FFA"/>
    <w:rsid w:val="004E3270"/>
    <w:rsid w:val="004E3A3F"/>
    <w:rsid w:val="004E3A52"/>
    <w:rsid w:val="004E3BC4"/>
    <w:rsid w:val="004E51BD"/>
    <w:rsid w:val="004E62DA"/>
    <w:rsid w:val="004E6E1E"/>
    <w:rsid w:val="004E6F1D"/>
    <w:rsid w:val="004E6FB3"/>
    <w:rsid w:val="004E7646"/>
    <w:rsid w:val="004E7F60"/>
    <w:rsid w:val="004F0323"/>
    <w:rsid w:val="004F0559"/>
    <w:rsid w:val="004F1DDE"/>
    <w:rsid w:val="004F2C97"/>
    <w:rsid w:val="004F310E"/>
    <w:rsid w:val="004F39C7"/>
    <w:rsid w:val="004F3B1D"/>
    <w:rsid w:val="004F4964"/>
    <w:rsid w:val="004F4C19"/>
    <w:rsid w:val="004F6111"/>
    <w:rsid w:val="004F6B74"/>
    <w:rsid w:val="004F756D"/>
    <w:rsid w:val="00503E28"/>
    <w:rsid w:val="005043A4"/>
    <w:rsid w:val="00505F78"/>
    <w:rsid w:val="00506208"/>
    <w:rsid w:val="0050679A"/>
    <w:rsid w:val="0051039B"/>
    <w:rsid w:val="00510432"/>
    <w:rsid w:val="00510490"/>
    <w:rsid w:val="00510494"/>
    <w:rsid w:val="00510D42"/>
    <w:rsid w:val="00510F22"/>
    <w:rsid w:val="005114CE"/>
    <w:rsid w:val="00511987"/>
    <w:rsid w:val="0051288C"/>
    <w:rsid w:val="00513BA9"/>
    <w:rsid w:val="00513CE4"/>
    <w:rsid w:val="00514118"/>
    <w:rsid w:val="00515162"/>
    <w:rsid w:val="00515301"/>
    <w:rsid w:val="00516A90"/>
    <w:rsid w:val="00516DFF"/>
    <w:rsid w:val="00517517"/>
    <w:rsid w:val="00517522"/>
    <w:rsid w:val="00517D38"/>
    <w:rsid w:val="00520327"/>
    <w:rsid w:val="00521202"/>
    <w:rsid w:val="00521752"/>
    <w:rsid w:val="005240DF"/>
    <w:rsid w:val="0052496A"/>
    <w:rsid w:val="00525D81"/>
    <w:rsid w:val="00526296"/>
    <w:rsid w:val="00526B70"/>
    <w:rsid w:val="005272AE"/>
    <w:rsid w:val="005277CA"/>
    <w:rsid w:val="005307B5"/>
    <w:rsid w:val="00530FF0"/>
    <w:rsid w:val="0053265B"/>
    <w:rsid w:val="00532803"/>
    <w:rsid w:val="00533939"/>
    <w:rsid w:val="00534A78"/>
    <w:rsid w:val="00534FF3"/>
    <w:rsid w:val="00535E1C"/>
    <w:rsid w:val="0053627A"/>
    <w:rsid w:val="005365A7"/>
    <w:rsid w:val="00536ECF"/>
    <w:rsid w:val="005376AE"/>
    <w:rsid w:val="005379AD"/>
    <w:rsid w:val="00537E84"/>
    <w:rsid w:val="005400CC"/>
    <w:rsid w:val="0054017D"/>
    <w:rsid w:val="00540255"/>
    <w:rsid w:val="00540A20"/>
    <w:rsid w:val="00540A5A"/>
    <w:rsid w:val="005425B0"/>
    <w:rsid w:val="00543163"/>
    <w:rsid w:val="00544589"/>
    <w:rsid w:val="00547236"/>
    <w:rsid w:val="0054776F"/>
    <w:rsid w:val="00547B23"/>
    <w:rsid w:val="005505B7"/>
    <w:rsid w:val="00550B91"/>
    <w:rsid w:val="00553024"/>
    <w:rsid w:val="00553F0A"/>
    <w:rsid w:val="00554134"/>
    <w:rsid w:val="00554911"/>
    <w:rsid w:val="00554D53"/>
    <w:rsid w:val="00554F5D"/>
    <w:rsid w:val="00556B80"/>
    <w:rsid w:val="00556E15"/>
    <w:rsid w:val="00556EEE"/>
    <w:rsid w:val="00556FDE"/>
    <w:rsid w:val="00557295"/>
    <w:rsid w:val="005578EC"/>
    <w:rsid w:val="005621B9"/>
    <w:rsid w:val="00562CE0"/>
    <w:rsid w:val="00562D3C"/>
    <w:rsid w:val="00564163"/>
    <w:rsid w:val="00564B59"/>
    <w:rsid w:val="00565260"/>
    <w:rsid w:val="00565610"/>
    <w:rsid w:val="005658C4"/>
    <w:rsid w:val="00566EFD"/>
    <w:rsid w:val="0056750B"/>
    <w:rsid w:val="0056789B"/>
    <w:rsid w:val="005679FE"/>
    <w:rsid w:val="005708E3"/>
    <w:rsid w:val="005714DE"/>
    <w:rsid w:val="00571D01"/>
    <w:rsid w:val="00572902"/>
    <w:rsid w:val="005734FA"/>
    <w:rsid w:val="005760D4"/>
    <w:rsid w:val="005762BC"/>
    <w:rsid w:val="005773E7"/>
    <w:rsid w:val="00577BE2"/>
    <w:rsid w:val="00580BE7"/>
    <w:rsid w:val="00581A62"/>
    <w:rsid w:val="00582A38"/>
    <w:rsid w:val="00582E42"/>
    <w:rsid w:val="00583B71"/>
    <w:rsid w:val="00583DAC"/>
    <w:rsid w:val="0058574F"/>
    <w:rsid w:val="0058593C"/>
    <w:rsid w:val="00587DC4"/>
    <w:rsid w:val="00590F9A"/>
    <w:rsid w:val="00592211"/>
    <w:rsid w:val="00592872"/>
    <w:rsid w:val="00592B87"/>
    <w:rsid w:val="00592EFA"/>
    <w:rsid w:val="00592FD9"/>
    <w:rsid w:val="005934E1"/>
    <w:rsid w:val="00593804"/>
    <w:rsid w:val="0059498A"/>
    <w:rsid w:val="00594DE3"/>
    <w:rsid w:val="00595C0D"/>
    <w:rsid w:val="00595EBF"/>
    <w:rsid w:val="005960D8"/>
    <w:rsid w:val="0059625A"/>
    <w:rsid w:val="005963D2"/>
    <w:rsid w:val="00596956"/>
    <w:rsid w:val="005A024A"/>
    <w:rsid w:val="005A135D"/>
    <w:rsid w:val="005A1D66"/>
    <w:rsid w:val="005A2477"/>
    <w:rsid w:val="005A26CA"/>
    <w:rsid w:val="005A336F"/>
    <w:rsid w:val="005A4102"/>
    <w:rsid w:val="005A4414"/>
    <w:rsid w:val="005A461F"/>
    <w:rsid w:val="005A4EA9"/>
    <w:rsid w:val="005A5843"/>
    <w:rsid w:val="005A5A97"/>
    <w:rsid w:val="005A6747"/>
    <w:rsid w:val="005A6E5D"/>
    <w:rsid w:val="005A7AC1"/>
    <w:rsid w:val="005A7F1E"/>
    <w:rsid w:val="005B0559"/>
    <w:rsid w:val="005B0EB5"/>
    <w:rsid w:val="005B1335"/>
    <w:rsid w:val="005B197C"/>
    <w:rsid w:val="005B219D"/>
    <w:rsid w:val="005B2953"/>
    <w:rsid w:val="005B313D"/>
    <w:rsid w:val="005B31E7"/>
    <w:rsid w:val="005B3FA7"/>
    <w:rsid w:val="005B45AA"/>
    <w:rsid w:val="005B4F6E"/>
    <w:rsid w:val="005B5148"/>
    <w:rsid w:val="005B6093"/>
    <w:rsid w:val="005B6506"/>
    <w:rsid w:val="005B6B28"/>
    <w:rsid w:val="005B6EFF"/>
    <w:rsid w:val="005B759C"/>
    <w:rsid w:val="005B78A9"/>
    <w:rsid w:val="005C0ED0"/>
    <w:rsid w:val="005C14D1"/>
    <w:rsid w:val="005C24E2"/>
    <w:rsid w:val="005C2C69"/>
    <w:rsid w:val="005C2E50"/>
    <w:rsid w:val="005C4505"/>
    <w:rsid w:val="005C4BA9"/>
    <w:rsid w:val="005C503A"/>
    <w:rsid w:val="005C55A4"/>
    <w:rsid w:val="005C6799"/>
    <w:rsid w:val="005C7781"/>
    <w:rsid w:val="005C7DFA"/>
    <w:rsid w:val="005D07FA"/>
    <w:rsid w:val="005D1D63"/>
    <w:rsid w:val="005D355A"/>
    <w:rsid w:val="005D3CCA"/>
    <w:rsid w:val="005D4DF5"/>
    <w:rsid w:val="005D5EB4"/>
    <w:rsid w:val="005D61D6"/>
    <w:rsid w:val="005D6271"/>
    <w:rsid w:val="005D7855"/>
    <w:rsid w:val="005D7D4E"/>
    <w:rsid w:val="005E032A"/>
    <w:rsid w:val="005E0C54"/>
    <w:rsid w:val="005E0FB6"/>
    <w:rsid w:val="005E1094"/>
    <w:rsid w:val="005E1141"/>
    <w:rsid w:val="005E24D9"/>
    <w:rsid w:val="005E284F"/>
    <w:rsid w:val="005E4592"/>
    <w:rsid w:val="005E4E9C"/>
    <w:rsid w:val="005E5026"/>
    <w:rsid w:val="005E514A"/>
    <w:rsid w:val="005F0468"/>
    <w:rsid w:val="005F0884"/>
    <w:rsid w:val="005F1F68"/>
    <w:rsid w:val="005F27BD"/>
    <w:rsid w:val="005F2951"/>
    <w:rsid w:val="005F36DB"/>
    <w:rsid w:val="005F4DD2"/>
    <w:rsid w:val="005F54DC"/>
    <w:rsid w:val="005F556A"/>
    <w:rsid w:val="005F715F"/>
    <w:rsid w:val="005F75A3"/>
    <w:rsid w:val="006000E3"/>
    <w:rsid w:val="006007F7"/>
    <w:rsid w:val="00600958"/>
    <w:rsid w:val="00600C17"/>
    <w:rsid w:val="00601217"/>
    <w:rsid w:val="00601334"/>
    <w:rsid w:val="00601777"/>
    <w:rsid w:val="006019C0"/>
    <w:rsid w:val="00602E97"/>
    <w:rsid w:val="006034FD"/>
    <w:rsid w:val="00604445"/>
    <w:rsid w:val="00604617"/>
    <w:rsid w:val="006060A3"/>
    <w:rsid w:val="006070AE"/>
    <w:rsid w:val="006073BB"/>
    <w:rsid w:val="00607663"/>
    <w:rsid w:val="0061039F"/>
    <w:rsid w:val="006111EC"/>
    <w:rsid w:val="006115DC"/>
    <w:rsid w:val="0061168B"/>
    <w:rsid w:val="00612702"/>
    <w:rsid w:val="006128F7"/>
    <w:rsid w:val="00612927"/>
    <w:rsid w:val="00616789"/>
    <w:rsid w:val="00616ECB"/>
    <w:rsid w:val="00617CA6"/>
    <w:rsid w:val="0062092B"/>
    <w:rsid w:val="00620F29"/>
    <w:rsid w:val="006216FC"/>
    <w:rsid w:val="00621C6F"/>
    <w:rsid w:val="00621E8A"/>
    <w:rsid w:val="006226EA"/>
    <w:rsid w:val="00623A81"/>
    <w:rsid w:val="00623F83"/>
    <w:rsid w:val="00624ACC"/>
    <w:rsid w:val="00624D66"/>
    <w:rsid w:val="00624FCB"/>
    <w:rsid w:val="0062526E"/>
    <w:rsid w:val="0062623C"/>
    <w:rsid w:val="006263A6"/>
    <w:rsid w:val="0062658D"/>
    <w:rsid w:val="006268E3"/>
    <w:rsid w:val="00626F82"/>
    <w:rsid w:val="00632398"/>
    <w:rsid w:val="00632D04"/>
    <w:rsid w:val="006331A0"/>
    <w:rsid w:val="006335FF"/>
    <w:rsid w:val="00634137"/>
    <w:rsid w:val="00634558"/>
    <w:rsid w:val="00634627"/>
    <w:rsid w:val="00634E6C"/>
    <w:rsid w:val="00635CB5"/>
    <w:rsid w:val="00641429"/>
    <w:rsid w:val="00641F0E"/>
    <w:rsid w:val="00641FE3"/>
    <w:rsid w:val="00642622"/>
    <w:rsid w:val="00642968"/>
    <w:rsid w:val="00642B9D"/>
    <w:rsid w:val="006447B8"/>
    <w:rsid w:val="00644EC5"/>
    <w:rsid w:val="006454E1"/>
    <w:rsid w:val="0064579A"/>
    <w:rsid w:val="00650105"/>
    <w:rsid w:val="00652DF2"/>
    <w:rsid w:val="00653334"/>
    <w:rsid w:val="00654017"/>
    <w:rsid w:val="0065559E"/>
    <w:rsid w:val="00660A4E"/>
    <w:rsid w:val="00660BF4"/>
    <w:rsid w:val="00661078"/>
    <w:rsid w:val="00661F1A"/>
    <w:rsid w:val="0066258C"/>
    <w:rsid w:val="00662DE0"/>
    <w:rsid w:val="00662F7F"/>
    <w:rsid w:val="00663435"/>
    <w:rsid w:val="0066380D"/>
    <w:rsid w:val="00663EB0"/>
    <w:rsid w:val="00663FA4"/>
    <w:rsid w:val="00664952"/>
    <w:rsid w:val="00665995"/>
    <w:rsid w:val="00665B43"/>
    <w:rsid w:val="006666D0"/>
    <w:rsid w:val="00667372"/>
    <w:rsid w:val="00667DAD"/>
    <w:rsid w:val="0067227A"/>
    <w:rsid w:val="00672BC0"/>
    <w:rsid w:val="00672FA4"/>
    <w:rsid w:val="00672FA5"/>
    <w:rsid w:val="00675EE3"/>
    <w:rsid w:val="0067696A"/>
    <w:rsid w:val="00676C35"/>
    <w:rsid w:val="0067781E"/>
    <w:rsid w:val="00677994"/>
    <w:rsid w:val="00677B64"/>
    <w:rsid w:val="00677BD1"/>
    <w:rsid w:val="006803F3"/>
    <w:rsid w:val="0068041F"/>
    <w:rsid w:val="006812DC"/>
    <w:rsid w:val="00681ECA"/>
    <w:rsid w:val="00682013"/>
    <w:rsid w:val="00685851"/>
    <w:rsid w:val="0068769F"/>
    <w:rsid w:val="0069074F"/>
    <w:rsid w:val="006908EB"/>
    <w:rsid w:val="0069123A"/>
    <w:rsid w:val="00693B26"/>
    <w:rsid w:val="00694AB1"/>
    <w:rsid w:val="006959FD"/>
    <w:rsid w:val="00696DA6"/>
    <w:rsid w:val="00697456"/>
    <w:rsid w:val="0069779F"/>
    <w:rsid w:val="00697B2F"/>
    <w:rsid w:val="006A008C"/>
    <w:rsid w:val="006A01CF"/>
    <w:rsid w:val="006A024A"/>
    <w:rsid w:val="006A0D08"/>
    <w:rsid w:val="006A183D"/>
    <w:rsid w:val="006A1F85"/>
    <w:rsid w:val="006A2497"/>
    <w:rsid w:val="006A253D"/>
    <w:rsid w:val="006A2A31"/>
    <w:rsid w:val="006A2CC7"/>
    <w:rsid w:val="006A3469"/>
    <w:rsid w:val="006A4002"/>
    <w:rsid w:val="006A5167"/>
    <w:rsid w:val="006A51B9"/>
    <w:rsid w:val="006A589B"/>
    <w:rsid w:val="006A5FD1"/>
    <w:rsid w:val="006A6470"/>
    <w:rsid w:val="006A6B4B"/>
    <w:rsid w:val="006A6C4A"/>
    <w:rsid w:val="006B0508"/>
    <w:rsid w:val="006B0B07"/>
    <w:rsid w:val="006B10F4"/>
    <w:rsid w:val="006B1DB9"/>
    <w:rsid w:val="006B25F8"/>
    <w:rsid w:val="006B28C2"/>
    <w:rsid w:val="006B2C42"/>
    <w:rsid w:val="006B3BD7"/>
    <w:rsid w:val="006B5549"/>
    <w:rsid w:val="006B5A1D"/>
    <w:rsid w:val="006B6097"/>
    <w:rsid w:val="006B69F7"/>
    <w:rsid w:val="006B7846"/>
    <w:rsid w:val="006C0A1C"/>
    <w:rsid w:val="006C1583"/>
    <w:rsid w:val="006C2505"/>
    <w:rsid w:val="006C3313"/>
    <w:rsid w:val="006C336F"/>
    <w:rsid w:val="006C34D2"/>
    <w:rsid w:val="006C3CA8"/>
    <w:rsid w:val="006C4956"/>
    <w:rsid w:val="006C4C58"/>
    <w:rsid w:val="006C5367"/>
    <w:rsid w:val="006C596B"/>
    <w:rsid w:val="006C66C1"/>
    <w:rsid w:val="006C6E1A"/>
    <w:rsid w:val="006C7923"/>
    <w:rsid w:val="006D042E"/>
    <w:rsid w:val="006D05BE"/>
    <w:rsid w:val="006D074A"/>
    <w:rsid w:val="006D139B"/>
    <w:rsid w:val="006D13E9"/>
    <w:rsid w:val="006D237B"/>
    <w:rsid w:val="006D350C"/>
    <w:rsid w:val="006D5202"/>
    <w:rsid w:val="006D52D9"/>
    <w:rsid w:val="006D5DC1"/>
    <w:rsid w:val="006D5F01"/>
    <w:rsid w:val="006D6106"/>
    <w:rsid w:val="006D630C"/>
    <w:rsid w:val="006D6429"/>
    <w:rsid w:val="006D6453"/>
    <w:rsid w:val="006D7710"/>
    <w:rsid w:val="006D7EFB"/>
    <w:rsid w:val="006E18A6"/>
    <w:rsid w:val="006E29F5"/>
    <w:rsid w:val="006E308E"/>
    <w:rsid w:val="006E3428"/>
    <w:rsid w:val="006E3CFD"/>
    <w:rsid w:val="006E432A"/>
    <w:rsid w:val="006E55F2"/>
    <w:rsid w:val="006F0963"/>
    <w:rsid w:val="006F0F25"/>
    <w:rsid w:val="006F303B"/>
    <w:rsid w:val="006F355C"/>
    <w:rsid w:val="006F4B43"/>
    <w:rsid w:val="006F51D7"/>
    <w:rsid w:val="006F6944"/>
    <w:rsid w:val="006F7D97"/>
    <w:rsid w:val="0070096B"/>
    <w:rsid w:val="00700EC9"/>
    <w:rsid w:val="00701E2C"/>
    <w:rsid w:val="00701EBF"/>
    <w:rsid w:val="007020E3"/>
    <w:rsid w:val="0070230B"/>
    <w:rsid w:val="00702706"/>
    <w:rsid w:val="0070400D"/>
    <w:rsid w:val="007041DA"/>
    <w:rsid w:val="0070490A"/>
    <w:rsid w:val="00704944"/>
    <w:rsid w:val="007059BA"/>
    <w:rsid w:val="00705E5A"/>
    <w:rsid w:val="007070BF"/>
    <w:rsid w:val="00707217"/>
    <w:rsid w:val="00707D25"/>
    <w:rsid w:val="00710382"/>
    <w:rsid w:val="00710464"/>
    <w:rsid w:val="00712326"/>
    <w:rsid w:val="0071294A"/>
    <w:rsid w:val="00712BD0"/>
    <w:rsid w:val="00712CDE"/>
    <w:rsid w:val="00713755"/>
    <w:rsid w:val="00713ACA"/>
    <w:rsid w:val="00713D59"/>
    <w:rsid w:val="00714644"/>
    <w:rsid w:val="00715274"/>
    <w:rsid w:val="00715512"/>
    <w:rsid w:val="00715901"/>
    <w:rsid w:val="007176F1"/>
    <w:rsid w:val="00717709"/>
    <w:rsid w:val="00717DD8"/>
    <w:rsid w:val="007201D8"/>
    <w:rsid w:val="007213AE"/>
    <w:rsid w:val="00721618"/>
    <w:rsid w:val="00721955"/>
    <w:rsid w:val="00723AD7"/>
    <w:rsid w:val="00724295"/>
    <w:rsid w:val="00726109"/>
    <w:rsid w:val="007269AA"/>
    <w:rsid w:val="00726CE2"/>
    <w:rsid w:val="00726EB2"/>
    <w:rsid w:val="00727D3C"/>
    <w:rsid w:val="00730BFC"/>
    <w:rsid w:val="007312F9"/>
    <w:rsid w:val="00731448"/>
    <w:rsid w:val="00732119"/>
    <w:rsid w:val="00732343"/>
    <w:rsid w:val="00732372"/>
    <w:rsid w:val="00734602"/>
    <w:rsid w:val="00734701"/>
    <w:rsid w:val="00735366"/>
    <w:rsid w:val="007356B1"/>
    <w:rsid w:val="00736AF2"/>
    <w:rsid w:val="007374A8"/>
    <w:rsid w:val="00737925"/>
    <w:rsid w:val="00737A32"/>
    <w:rsid w:val="007400AC"/>
    <w:rsid w:val="0074013E"/>
    <w:rsid w:val="00740667"/>
    <w:rsid w:val="007414A5"/>
    <w:rsid w:val="00741CB4"/>
    <w:rsid w:val="00742D21"/>
    <w:rsid w:val="00742E0D"/>
    <w:rsid w:val="00743087"/>
    <w:rsid w:val="00744678"/>
    <w:rsid w:val="00744A6B"/>
    <w:rsid w:val="00744C33"/>
    <w:rsid w:val="007456F4"/>
    <w:rsid w:val="00746F59"/>
    <w:rsid w:val="0074753C"/>
    <w:rsid w:val="007475A5"/>
    <w:rsid w:val="00750518"/>
    <w:rsid w:val="00752375"/>
    <w:rsid w:val="00752F85"/>
    <w:rsid w:val="00753E2D"/>
    <w:rsid w:val="00754109"/>
    <w:rsid w:val="00754180"/>
    <w:rsid w:val="00754AB3"/>
    <w:rsid w:val="00755407"/>
    <w:rsid w:val="0075607E"/>
    <w:rsid w:val="007563FA"/>
    <w:rsid w:val="00756820"/>
    <w:rsid w:val="0075693C"/>
    <w:rsid w:val="00757118"/>
    <w:rsid w:val="0075714E"/>
    <w:rsid w:val="007579D3"/>
    <w:rsid w:val="007579F2"/>
    <w:rsid w:val="007610FE"/>
    <w:rsid w:val="00761260"/>
    <w:rsid w:val="0076138F"/>
    <w:rsid w:val="007624D9"/>
    <w:rsid w:val="00763146"/>
    <w:rsid w:val="007644C3"/>
    <w:rsid w:val="00764792"/>
    <w:rsid w:val="00764C61"/>
    <w:rsid w:val="00764CFC"/>
    <w:rsid w:val="00765BEC"/>
    <w:rsid w:val="0076610D"/>
    <w:rsid w:val="00766F92"/>
    <w:rsid w:val="00767678"/>
    <w:rsid w:val="007677F3"/>
    <w:rsid w:val="007702D3"/>
    <w:rsid w:val="00770BF8"/>
    <w:rsid w:val="007711BA"/>
    <w:rsid w:val="00771D42"/>
    <w:rsid w:val="00772264"/>
    <w:rsid w:val="00773353"/>
    <w:rsid w:val="0077389B"/>
    <w:rsid w:val="007738F4"/>
    <w:rsid w:val="00775108"/>
    <w:rsid w:val="0077534E"/>
    <w:rsid w:val="007765EC"/>
    <w:rsid w:val="00776ACE"/>
    <w:rsid w:val="0077785C"/>
    <w:rsid w:val="00777EA4"/>
    <w:rsid w:val="00780447"/>
    <w:rsid w:val="007808AD"/>
    <w:rsid w:val="00780E11"/>
    <w:rsid w:val="0078156E"/>
    <w:rsid w:val="0078243A"/>
    <w:rsid w:val="007844A9"/>
    <w:rsid w:val="007844F6"/>
    <w:rsid w:val="00784F6A"/>
    <w:rsid w:val="0078584B"/>
    <w:rsid w:val="00786B2F"/>
    <w:rsid w:val="00787896"/>
    <w:rsid w:val="007878E7"/>
    <w:rsid w:val="007902DD"/>
    <w:rsid w:val="00790DF7"/>
    <w:rsid w:val="007912D2"/>
    <w:rsid w:val="00791990"/>
    <w:rsid w:val="00794AE5"/>
    <w:rsid w:val="00794D1C"/>
    <w:rsid w:val="007960B0"/>
    <w:rsid w:val="00796387"/>
    <w:rsid w:val="00796647"/>
    <w:rsid w:val="00797698"/>
    <w:rsid w:val="007A2D23"/>
    <w:rsid w:val="007A2EB7"/>
    <w:rsid w:val="007A324A"/>
    <w:rsid w:val="007A37F8"/>
    <w:rsid w:val="007A4B7B"/>
    <w:rsid w:val="007A4BCD"/>
    <w:rsid w:val="007A5EE9"/>
    <w:rsid w:val="007A77CA"/>
    <w:rsid w:val="007B0D99"/>
    <w:rsid w:val="007B11DB"/>
    <w:rsid w:val="007B13E5"/>
    <w:rsid w:val="007B2558"/>
    <w:rsid w:val="007B31B6"/>
    <w:rsid w:val="007B39D4"/>
    <w:rsid w:val="007B41D6"/>
    <w:rsid w:val="007B4BD1"/>
    <w:rsid w:val="007B4F87"/>
    <w:rsid w:val="007B51BD"/>
    <w:rsid w:val="007B5699"/>
    <w:rsid w:val="007B6BB7"/>
    <w:rsid w:val="007B795E"/>
    <w:rsid w:val="007B7B65"/>
    <w:rsid w:val="007C0F99"/>
    <w:rsid w:val="007C178A"/>
    <w:rsid w:val="007C1C3D"/>
    <w:rsid w:val="007C30B0"/>
    <w:rsid w:val="007C30BD"/>
    <w:rsid w:val="007C3D51"/>
    <w:rsid w:val="007C3DC5"/>
    <w:rsid w:val="007C3F7F"/>
    <w:rsid w:val="007C486D"/>
    <w:rsid w:val="007C48E5"/>
    <w:rsid w:val="007C5C94"/>
    <w:rsid w:val="007C62FC"/>
    <w:rsid w:val="007C685E"/>
    <w:rsid w:val="007C75E1"/>
    <w:rsid w:val="007C7A17"/>
    <w:rsid w:val="007C7A75"/>
    <w:rsid w:val="007C7F38"/>
    <w:rsid w:val="007D08BE"/>
    <w:rsid w:val="007D138E"/>
    <w:rsid w:val="007D33F2"/>
    <w:rsid w:val="007D3A00"/>
    <w:rsid w:val="007D60D0"/>
    <w:rsid w:val="007D70AB"/>
    <w:rsid w:val="007D7336"/>
    <w:rsid w:val="007E1665"/>
    <w:rsid w:val="007E2908"/>
    <w:rsid w:val="007E3B40"/>
    <w:rsid w:val="007E467D"/>
    <w:rsid w:val="007E4F1C"/>
    <w:rsid w:val="007E51FE"/>
    <w:rsid w:val="007E5803"/>
    <w:rsid w:val="007E6BFF"/>
    <w:rsid w:val="007E7140"/>
    <w:rsid w:val="007E7E60"/>
    <w:rsid w:val="007F0C35"/>
    <w:rsid w:val="007F1070"/>
    <w:rsid w:val="007F1274"/>
    <w:rsid w:val="007F1DEA"/>
    <w:rsid w:val="007F2A1A"/>
    <w:rsid w:val="007F3262"/>
    <w:rsid w:val="007F33BE"/>
    <w:rsid w:val="007F37A2"/>
    <w:rsid w:val="007F4A7E"/>
    <w:rsid w:val="007F4AB1"/>
    <w:rsid w:val="007F5689"/>
    <w:rsid w:val="007F5933"/>
    <w:rsid w:val="007F5F57"/>
    <w:rsid w:val="007F62A3"/>
    <w:rsid w:val="007F694D"/>
    <w:rsid w:val="007F6D4E"/>
    <w:rsid w:val="007F7334"/>
    <w:rsid w:val="007F73EC"/>
    <w:rsid w:val="007F78DF"/>
    <w:rsid w:val="007F7C2B"/>
    <w:rsid w:val="00800242"/>
    <w:rsid w:val="008016D4"/>
    <w:rsid w:val="0080220B"/>
    <w:rsid w:val="008028D3"/>
    <w:rsid w:val="0080356E"/>
    <w:rsid w:val="008042E1"/>
    <w:rsid w:val="00804862"/>
    <w:rsid w:val="00804B1A"/>
    <w:rsid w:val="0080552B"/>
    <w:rsid w:val="00805922"/>
    <w:rsid w:val="00812276"/>
    <w:rsid w:val="0081275E"/>
    <w:rsid w:val="00812FE3"/>
    <w:rsid w:val="00813094"/>
    <w:rsid w:val="00814FE5"/>
    <w:rsid w:val="00815D62"/>
    <w:rsid w:val="00815EB0"/>
    <w:rsid w:val="008160C9"/>
    <w:rsid w:val="00816D44"/>
    <w:rsid w:val="00820412"/>
    <w:rsid w:val="00820840"/>
    <w:rsid w:val="008215D6"/>
    <w:rsid w:val="0082176D"/>
    <w:rsid w:val="0082234F"/>
    <w:rsid w:val="00822411"/>
    <w:rsid w:val="00823079"/>
    <w:rsid w:val="00823A16"/>
    <w:rsid w:val="00823A1E"/>
    <w:rsid w:val="00824128"/>
    <w:rsid w:val="00825B04"/>
    <w:rsid w:val="00825BE2"/>
    <w:rsid w:val="00825DFE"/>
    <w:rsid w:val="008261FB"/>
    <w:rsid w:val="00826AA3"/>
    <w:rsid w:val="008271C8"/>
    <w:rsid w:val="00827215"/>
    <w:rsid w:val="00827583"/>
    <w:rsid w:val="00827688"/>
    <w:rsid w:val="00827BB2"/>
    <w:rsid w:val="00830730"/>
    <w:rsid w:val="0083077F"/>
    <w:rsid w:val="00830EA5"/>
    <w:rsid w:val="00831030"/>
    <w:rsid w:val="00831FE8"/>
    <w:rsid w:val="0083314E"/>
    <w:rsid w:val="00833DB9"/>
    <w:rsid w:val="00835548"/>
    <w:rsid w:val="00837665"/>
    <w:rsid w:val="008403BD"/>
    <w:rsid w:val="00840C13"/>
    <w:rsid w:val="0084167C"/>
    <w:rsid w:val="00841EC7"/>
    <w:rsid w:val="0084204D"/>
    <w:rsid w:val="008424AB"/>
    <w:rsid w:val="008429A5"/>
    <w:rsid w:val="00842E7E"/>
    <w:rsid w:val="00842ECD"/>
    <w:rsid w:val="00843DE3"/>
    <w:rsid w:val="0084430F"/>
    <w:rsid w:val="00844606"/>
    <w:rsid w:val="008450AD"/>
    <w:rsid w:val="008462A9"/>
    <w:rsid w:val="00847531"/>
    <w:rsid w:val="008475D7"/>
    <w:rsid w:val="00851081"/>
    <w:rsid w:val="0085159C"/>
    <w:rsid w:val="00851A78"/>
    <w:rsid w:val="00852170"/>
    <w:rsid w:val="0085223E"/>
    <w:rsid w:val="0085325D"/>
    <w:rsid w:val="00853371"/>
    <w:rsid w:val="008535B4"/>
    <w:rsid w:val="008544AD"/>
    <w:rsid w:val="0085450A"/>
    <w:rsid w:val="00854771"/>
    <w:rsid w:val="00854779"/>
    <w:rsid w:val="00855227"/>
    <w:rsid w:val="00855EAF"/>
    <w:rsid w:val="00856997"/>
    <w:rsid w:val="00856AA1"/>
    <w:rsid w:val="00857A1C"/>
    <w:rsid w:val="00857E45"/>
    <w:rsid w:val="0086216C"/>
    <w:rsid w:val="0086228F"/>
    <w:rsid w:val="00862D68"/>
    <w:rsid w:val="0086368F"/>
    <w:rsid w:val="0086392C"/>
    <w:rsid w:val="00863D6C"/>
    <w:rsid w:val="008659CC"/>
    <w:rsid w:val="00866A62"/>
    <w:rsid w:val="00866EEB"/>
    <w:rsid w:val="0086721E"/>
    <w:rsid w:val="00871EEE"/>
    <w:rsid w:val="00872CEC"/>
    <w:rsid w:val="00873401"/>
    <w:rsid w:val="0087376E"/>
    <w:rsid w:val="00873F0D"/>
    <w:rsid w:val="00874105"/>
    <w:rsid w:val="008746CF"/>
    <w:rsid w:val="0087531E"/>
    <w:rsid w:val="00875973"/>
    <w:rsid w:val="00877553"/>
    <w:rsid w:val="0087787B"/>
    <w:rsid w:val="0088011B"/>
    <w:rsid w:val="008801F0"/>
    <w:rsid w:val="00882609"/>
    <w:rsid w:val="00882D19"/>
    <w:rsid w:val="00882DA0"/>
    <w:rsid w:val="0088431A"/>
    <w:rsid w:val="00885484"/>
    <w:rsid w:val="008873F1"/>
    <w:rsid w:val="00887749"/>
    <w:rsid w:val="00887987"/>
    <w:rsid w:val="008903B9"/>
    <w:rsid w:val="00890DBE"/>
    <w:rsid w:val="008911ED"/>
    <w:rsid w:val="00891524"/>
    <w:rsid w:val="00891EE8"/>
    <w:rsid w:val="008921B6"/>
    <w:rsid w:val="00892689"/>
    <w:rsid w:val="00892AC2"/>
    <w:rsid w:val="008937E3"/>
    <w:rsid w:val="008939AB"/>
    <w:rsid w:val="0089483D"/>
    <w:rsid w:val="0089514B"/>
    <w:rsid w:val="00895812"/>
    <w:rsid w:val="00895838"/>
    <w:rsid w:val="00895F34"/>
    <w:rsid w:val="00896996"/>
    <w:rsid w:val="00897923"/>
    <w:rsid w:val="008A03B4"/>
    <w:rsid w:val="008A03BF"/>
    <w:rsid w:val="008A2AEB"/>
    <w:rsid w:val="008A2E73"/>
    <w:rsid w:val="008A3635"/>
    <w:rsid w:val="008A3E69"/>
    <w:rsid w:val="008A485A"/>
    <w:rsid w:val="008A69C4"/>
    <w:rsid w:val="008A6C46"/>
    <w:rsid w:val="008A79B3"/>
    <w:rsid w:val="008B07E5"/>
    <w:rsid w:val="008B094D"/>
    <w:rsid w:val="008B0FEC"/>
    <w:rsid w:val="008B1474"/>
    <w:rsid w:val="008B1629"/>
    <w:rsid w:val="008B2BA6"/>
    <w:rsid w:val="008B3109"/>
    <w:rsid w:val="008B3433"/>
    <w:rsid w:val="008B581A"/>
    <w:rsid w:val="008B72A5"/>
    <w:rsid w:val="008B7429"/>
    <w:rsid w:val="008C0ECC"/>
    <w:rsid w:val="008C1389"/>
    <w:rsid w:val="008C15C5"/>
    <w:rsid w:val="008C2B87"/>
    <w:rsid w:val="008C2D72"/>
    <w:rsid w:val="008C3178"/>
    <w:rsid w:val="008C596A"/>
    <w:rsid w:val="008C60BB"/>
    <w:rsid w:val="008C6B3F"/>
    <w:rsid w:val="008D02B5"/>
    <w:rsid w:val="008D07E0"/>
    <w:rsid w:val="008D0E6E"/>
    <w:rsid w:val="008D1111"/>
    <w:rsid w:val="008D1576"/>
    <w:rsid w:val="008D1B8D"/>
    <w:rsid w:val="008D1D6A"/>
    <w:rsid w:val="008D2154"/>
    <w:rsid w:val="008D24A6"/>
    <w:rsid w:val="008D474C"/>
    <w:rsid w:val="008D5175"/>
    <w:rsid w:val="008D7DF4"/>
    <w:rsid w:val="008D7E87"/>
    <w:rsid w:val="008E06B9"/>
    <w:rsid w:val="008E0A57"/>
    <w:rsid w:val="008E1E94"/>
    <w:rsid w:val="008E2183"/>
    <w:rsid w:val="008E25CC"/>
    <w:rsid w:val="008E2D21"/>
    <w:rsid w:val="008E3AFC"/>
    <w:rsid w:val="008E544A"/>
    <w:rsid w:val="008F0703"/>
    <w:rsid w:val="008F1823"/>
    <w:rsid w:val="008F18C8"/>
    <w:rsid w:val="008F1924"/>
    <w:rsid w:val="008F2053"/>
    <w:rsid w:val="008F244E"/>
    <w:rsid w:val="008F29FD"/>
    <w:rsid w:val="008F348B"/>
    <w:rsid w:val="008F62AF"/>
    <w:rsid w:val="008F6447"/>
    <w:rsid w:val="008F6DD7"/>
    <w:rsid w:val="008F785A"/>
    <w:rsid w:val="008F7ABD"/>
    <w:rsid w:val="00900280"/>
    <w:rsid w:val="00903187"/>
    <w:rsid w:val="009041D0"/>
    <w:rsid w:val="00905DA2"/>
    <w:rsid w:val="0090667C"/>
    <w:rsid w:val="00906C57"/>
    <w:rsid w:val="009071D3"/>
    <w:rsid w:val="0090786B"/>
    <w:rsid w:val="009078BE"/>
    <w:rsid w:val="00910D98"/>
    <w:rsid w:val="00910E4C"/>
    <w:rsid w:val="00911279"/>
    <w:rsid w:val="00911F58"/>
    <w:rsid w:val="009143E9"/>
    <w:rsid w:val="009153A4"/>
    <w:rsid w:val="009157F1"/>
    <w:rsid w:val="00915AA6"/>
    <w:rsid w:val="00915D13"/>
    <w:rsid w:val="0091600A"/>
    <w:rsid w:val="009163FD"/>
    <w:rsid w:val="00916461"/>
    <w:rsid w:val="00916D6D"/>
    <w:rsid w:val="0091725B"/>
    <w:rsid w:val="00920344"/>
    <w:rsid w:val="00920C64"/>
    <w:rsid w:val="009211CA"/>
    <w:rsid w:val="0092248F"/>
    <w:rsid w:val="00922EEE"/>
    <w:rsid w:val="00923EE3"/>
    <w:rsid w:val="009243A2"/>
    <w:rsid w:val="00924F65"/>
    <w:rsid w:val="00925225"/>
    <w:rsid w:val="0092537F"/>
    <w:rsid w:val="009302A1"/>
    <w:rsid w:val="00931EDE"/>
    <w:rsid w:val="009321AC"/>
    <w:rsid w:val="00932C8B"/>
    <w:rsid w:val="00933177"/>
    <w:rsid w:val="0093517B"/>
    <w:rsid w:val="0093578A"/>
    <w:rsid w:val="00935B94"/>
    <w:rsid w:val="00936573"/>
    <w:rsid w:val="00936AD5"/>
    <w:rsid w:val="009370FD"/>
    <w:rsid w:val="00940141"/>
    <w:rsid w:val="0094030B"/>
    <w:rsid w:val="00940459"/>
    <w:rsid w:val="00940EB0"/>
    <w:rsid w:val="00941000"/>
    <w:rsid w:val="00941315"/>
    <w:rsid w:val="009415AA"/>
    <w:rsid w:val="00942014"/>
    <w:rsid w:val="009439A1"/>
    <w:rsid w:val="00944B02"/>
    <w:rsid w:val="00945D03"/>
    <w:rsid w:val="00945D68"/>
    <w:rsid w:val="0094610E"/>
    <w:rsid w:val="0094648A"/>
    <w:rsid w:val="00946E31"/>
    <w:rsid w:val="00946E7E"/>
    <w:rsid w:val="009476E9"/>
    <w:rsid w:val="00947905"/>
    <w:rsid w:val="00947E9B"/>
    <w:rsid w:val="0095070F"/>
    <w:rsid w:val="00950CC6"/>
    <w:rsid w:val="0095156F"/>
    <w:rsid w:val="0095187A"/>
    <w:rsid w:val="00951967"/>
    <w:rsid w:val="00952669"/>
    <w:rsid w:val="009541E7"/>
    <w:rsid w:val="00954C0A"/>
    <w:rsid w:val="00954E68"/>
    <w:rsid w:val="0095537F"/>
    <w:rsid w:val="00955683"/>
    <w:rsid w:val="00955C46"/>
    <w:rsid w:val="00956F75"/>
    <w:rsid w:val="00957CEE"/>
    <w:rsid w:val="00960590"/>
    <w:rsid w:val="00960A7F"/>
    <w:rsid w:val="00960E68"/>
    <w:rsid w:val="009611F9"/>
    <w:rsid w:val="009623B9"/>
    <w:rsid w:val="00962536"/>
    <w:rsid w:val="00962654"/>
    <w:rsid w:val="0096291B"/>
    <w:rsid w:val="00963C5E"/>
    <w:rsid w:val="00964C2F"/>
    <w:rsid w:val="00964C9F"/>
    <w:rsid w:val="009659A8"/>
    <w:rsid w:val="00966BA7"/>
    <w:rsid w:val="00967A9D"/>
    <w:rsid w:val="00970252"/>
    <w:rsid w:val="0097093A"/>
    <w:rsid w:val="00970E8D"/>
    <w:rsid w:val="00970E9F"/>
    <w:rsid w:val="009712BC"/>
    <w:rsid w:val="0097144D"/>
    <w:rsid w:val="009721B1"/>
    <w:rsid w:val="009729D1"/>
    <w:rsid w:val="00973149"/>
    <w:rsid w:val="00973833"/>
    <w:rsid w:val="009738DC"/>
    <w:rsid w:val="00973993"/>
    <w:rsid w:val="00973DF6"/>
    <w:rsid w:val="00973F8A"/>
    <w:rsid w:val="00974005"/>
    <w:rsid w:val="00974B66"/>
    <w:rsid w:val="00975FCF"/>
    <w:rsid w:val="009760D5"/>
    <w:rsid w:val="009768DB"/>
    <w:rsid w:val="009771AA"/>
    <w:rsid w:val="00980391"/>
    <w:rsid w:val="0098067E"/>
    <w:rsid w:val="009808A4"/>
    <w:rsid w:val="0098168F"/>
    <w:rsid w:val="00981F76"/>
    <w:rsid w:val="0098313C"/>
    <w:rsid w:val="009834F9"/>
    <w:rsid w:val="009848A4"/>
    <w:rsid w:val="00985115"/>
    <w:rsid w:val="00985133"/>
    <w:rsid w:val="009859B6"/>
    <w:rsid w:val="00985C1E"/>
    <w:rsid w:val="00985E0E"/>
    <w:rsid w:val="009860C3"/>
    <w:rsid w:val="00987250"/>
    <w:rsid w:val="009908B0"/>
    <w:rsid w:val="00990C6A"/>
    <w:rsid w:val="009911DB"/>
    <w:rsid w:val="009918BC"/>
    <w:rsid w:val="009925F0"/>
    <w:rsid w:val="00992AA5"/>
    <w:rsid w:val="0099355D"/>
    <w:rsid w:val="00993AB9"/>
    <w:rsid w:val="00994757"/>
    <w:rsid w:val="0099503D"/>
    <w:rsid w:val="0099515A"/>
    <w:rsid w:val="00996278"/>
    <w:rsid w:val="009A05FD"/>
    <w:rsid w:val="009A0A69"/>
    <w:rsid w:val="009A11F1"/>
    <w:rsid w:val="009A190D"/>
    <w:rsid w:val="009A3502"/>
    <w:rsid w:val="009A38CE"/>
    <w:rsid w:val="009A4B6E"/>
    <w:rsid w:val="009A52CA"/>
    <w:rsid w:val="009A62F5"/>
    <w:rsid w:val="009A6FD1"/>
    <w:rsid w:val="009A70A3"/>
    <w:rsid w:val="009A736B"/>
    <w:rsid w:val="009A77DF"/>
    <w:rsid w:val="009A7B3D"/>
    <w:rsid w:val="009A7BD2"/>
    <w:rsid w:val="009B07A8"/>
    <w:rsid w:val="009B07B6"/>
    <w:rsid w:val="009B1986"/>
    <w:rsid w:val="009B1F35"/>
    <w:rsid w:val="009B289A"/>
    <w:rsid w:val="009B3083"/>
    <w:rsid w:val="009B33CB"/>
    <w:rsid w:val="009B342A"/>
    <w:rsid w:val="009B44BB"/>
    <w:rsid w:val="009B44DF"/>
    <w:rsid w:val="009B504B"/>
    <w:rsid w:val="009B51F1"/>
    <w:rsid w:val="009B555E"/>
    <w:rsid w:val="009B604F"/>
    <w:rsid w:val="009B6079"/>
    <w:rsid w:val="009B6C05"/>
    <w:rsid w:val="009B7304"/>
    <w:rsid w:val="009B7C2D"/>
    <w:rsid w:val="009C03D1"/>
    <w:rsid w:val="009C1719"/>
    <w:rsid w:val="009C4169"/>
    <w:rsid w:val="009C4C65"/>
    <w:rsid w:val="009C4CAD"/>
    <w:rsid w:val="009C59F2"/>
    <w:rsid w:val="009C7CCD"/>
    <w:rsid w:val="009D1454"/>
    <w:rsid w:val="009D3119"/>
    <w:rsid w:val="009D3F01"/>
    <w:rsid w:val="009D43C3"/>
    <w:rsid w:val="009D51C5"/>
    <w:rsid w:val="009D5EEE"/>
    <w:rsid w:val="009D623D"/>
    <w:rsid w:val="009D6F9A"/>
    <w:rsid w:val="009E1264"/>
    <w:rsid w:val="009E142B"/>
    <w:rsid w:val="009E25A6"/>
    <w:rsid w:val="009E30F3"/>
    <w:rsid w:val="009E3324"/>
    <w:rsid w:val="009E377E"/>
    <w:rsid w:val="009E4517"/>
    <w:rsid w:val="009E4DB2"/>
    <w:rsid w:val="009E50D4"/>
    <w:rsid w:val="009E589D"/>
    <w:rsid w:val="009E5D91"/>
    <w:rsid w:val="009E6052"/>
    <w:rsid w:val="009E69B4"/>
    <w:rsid w:val="009E73D4"/>
    <w:rsid w:val="009E78C8"/>
    <w:rsid w:val="009F0F61"/>
    <w:rsid w:val="009F1D47"/>
    <w:rsid w:val="009F22A4"/>
    <w:rsid w:val="009F26DF"/>
    <w:rsid w:val="009F2922"/>
    <w:rsid w:val="009F32E8"/>
    <w:rsid w:val="009F47BF"/>
    <w:rsid w:val="009F47E5"/>
    <w:rsid w:val="009F49C5"/>
    <w:rsid w:val="009F5105"/>
    <w:rsid w:val="009F530B"/>
    <w:rsid w:val="009F60D8"/>
    <w:rsid w:val="009F65FD"/>
    <w:rsid w:val="009F68F2"/>
    <w:rsid w:val="009F6A5B"/>
    <w:rsid w:val="00A0231D"/>
    <w:rsid w:val="00A034D8"/>
    <w:rsid w:val="00A03933"/>
    <w:rsid w:val="00A03ED6"/>
    <w:rsid w:val="00A05CD1"/>
    <w:rsid w:val="00A064EF"/>
    <w:rsid w:val="00A076E5"/>
    <w:rsid w:val="00A103CB"/>
    <w:rsid w:val="00A10D2B"/>
    <w:rsid w:val="00A12A06"/>
    <w:rsid w:val="00A13008"/>
    <w:rsid w:val="00A1356A"/>
    <w:rsid w:val="00A13EE8"/>
    <w:rsid w:val="00A14081"/>
    <w:rsid w:val="00A1423A"/>
    <w:rsid w:val="00A15554"/>
    <w:rsid w:val="00A15B9C"/>
    <w:rsid w:val="00A15C7A"/>
    <w:rsid w:val="00A168FF"/>
    <w:rsid w:val="00A17089"/>
    <w:rsid w:val="00A1752C"/>
    <w:rsid w:val="00A179BA"/>
    <w:rsid w:val="00A17D7C"/>
    <w:rsid w:val="00A20015"/>
    <w:rsid w:val="00A21372"/>
    <w:rsid w:val="00A21ED2"/>
    <w:rsid w:val="00A22F56"/>
    <w:rsid w:val="00A233E9"/>
    <w:rsid w:val="00A247C3"/>
    <w:rsid w:val="00A258A9"/>
    <w:rsid w:val="00A25AA2"/>
    <w:rsid w:val="00A27622"/>
    <w:rsid w:val="00A27E05"/>
    <w:rsid w:val="00A30731"/>
    <w:rsid w:val="00A30AF2"/>
    <w:rsid w:val="00A30DAA"/>
    <w:rsid w:val="00A31243"/>
    <w:rsid w:val="00A314A3"/>
    <w:rsid w:val="00A315CF"/>
    <w:rsid w:val="00A316E2"/>
    <w:rsid w:val="00A31890"/>
    <w:rsid w:val="00A32C7A"/>
    <w:rsid w:val="00A344AD"/>
    <w:rsid w:val="00A3457F"/>
    <w:rsid w:val="00A35BD8"/>
    <w:rsid w:val="00A35DF0"/>
    <w:rsid w:val="00A367A4"/>
    <w:rsid w:val="00A37304"/>
    <w:rsid w:val="00A379A7"/>
    <w:rsid w:val="00A40CD8"/>
    <w:rsid w:val="00A40FFC"/>
    <w:rsid w:val="00A422E1"/>
    <w:rsid w:val="00A42FDF"/>
    <w:rsid w:val="00A43B19"/>
    <w:rsid w:val="00A44CFF"/>
    <w:rsid w:val="00A451AE"/>
    <w:rsid w:val="00A45A2E"/>
    <w:rsid w:val="00A45E66"/>
    <w:rsid w:val="00A4677E"/>
    <w:rsid w:val="00A47B5C"/>
    <w:rsid w:val="00A51A12"/>
    <w:rsid w:val="00A52037"/>
    <w:rsid w:val="00A521E1"/>
    <w:rsid w:val="00A52B79"/>
    <w:rsid w:val="00A542A3"/>
    <w:rsid w:val="00A5537D"/>
    <w:rsid w:val="00A554A1"/>
    <w:rsid w:val="00A559BD"/>
    <w:rsid w:val="00A56406"/>
    <w:rsid w:val="00A57B5D"/>
    <w:rsid w:val="00A607DB"/>
    <w:rsid w:val="00A60FCC"/>
    <w:rsid w:val="00A61070"/>
    <w:rsid w:val="00A61316"/>
    <w:rsid w:val="00A61DAA"/>
    <w:rsid w:val="00A62715"/>
    <w:rsid w:val="00A62922"/>
    <w:rsid w:val="00A62EB3"/>
    <w:rsid w:val="00A63DA6"/>
    <w:rsid w:val="00A650F8"/>
    <w:rsid w:val="00A65CEF"/>
    <w:rsid w:val="00A67714"/>
    <w:rsid w:val="00A67871"/>
    <w:rsid w:val="00A678B9"/>
    <w:rsid w:val="00A700CC"/>
    <w:rsid w:val="00A70156"/>
    <w:rsid w:val="00A70186"/>
    <w:rsid w:val="00A70E28"/>
    <w:rsid w:val="00A7126B"/>
    <w:rsid w:val="00A7161E"/>
    <w:rsid w:val="00A71B4D"/>
    <w:rsid w:val="00A72015"/>
    <w:rsid w:val="00A7282E"/>
    <w:rsid w:val="00A7319E"/>
    <w:rsid w:val="00A74993"/>
    <w:rsid w:val="00A75EAE"/>
    <w:rsid w:val="00A76826"/>
    <w:rsid w:val="00A774A5"/>
    <w:rsid w:val="00A7799B"/>
    <w:rsid w:val="00A77CA8"/>
    <w:rsid w:val="00A808D3"/>
    <w:rsid w:val="00A827A2"/>
    <w:rsid w:val="00A8300D"/>
    <w:rsid w:val="00A85A5B"/>
    <w:rsid w:val="00A85CD5"/>
    <w:rsid w:val="00A86147"/>
    <w:rsid w:val="00A86324"/>
    <w:rsid w:val="00A870F8"/>
    <w:rsid w:val="00A90593"/>
    <w:rsid w:val="00A920DC"/>
    <w:rsid w:val="00A92AC4"/>
    <w:rsid w:val="00A93303"/>
    <w:rsid w:val="00A933BE"/>
    <w:rsid w:val="00A93615"/>
    <w:rsid w:val="00A93907"/>
    <w:rsid w:val="00A93B35"/>
    <w:rsid w:val="00A95492"/>
    <w:rsid w:val="00A95F20"/>
    <w:rsid w:val="00A95F55"/>
    <w:rsid w:val="00A962E3"/>
    <w:rsid w:val="00A964BF"/>
    <w:rsid w:val="00A97355"/>
    <w:rsid w:val="00A973F1"/>
    <w:rsid w:val="00A977F4"/>
    <w:rsid w:val="00AA0E32"/>
    <w:rsid w:val="00AA104F"/>
    <w:rsid w:val="00AA11D5"/>
    <w:rsid w:val="00AA18B9"/>
    <w:rsid w:val="00AA19C8"/>
    <w:rsid w:val="00AA1C59"/>
    <w:rsid w:val="00AA242D"/>
    <w:rsid w:val="00AA3ABC"/>
    <w:rsid w:val="00AA3E37"/>
    <w:rsid w:val="00AA5D1F"/>
    <w:rsid w:val="00AA6138"/>
    <w:rsid w:val="00AA61A4"/>
    <w:rsid w:val="00AA75D4"/>
    <w:rsid w:val="00AA7A52"/>
    <w:rsid w:val="00AB0546"/>
    <w:rsid w:val="00AB0632"/>
    <w:rsid w:val="00AB08B9"/>
    <w:rsid w:val="00AB0FD3"/>
    <w:rsid w:val="00AB2690"/>
    <w:rsid w:val="00AB2E96"/>
    <w:rsid w:val="00AB352A"/>
    <w:rsid w:val="00AB5F5D"/>
    <w:rsid w:val="00AB68B8"/>
    <w:rsid w:val="00AC088F"/>
    <w:rsid w:val="00AC1DE0"/>
    <w:rsid w:val="00AC1F74"/>
    <w:rsid w:val="00AC20A4"/>
    <w:rsid w:val="00AC4E9B"/>
    <w:rsid w:val="00AC535B"/>
    <w:rsid w:val="00AC5465"/>
    <w:rsid w:val="00AC5D6F"/>
    <w:rsid w:val="00AD0F10"/>
    <w:rsid w:val="00AD12BC"/>
    <w:rsid w:val="00AD1312"/>
    <w:rsid w:val="00AD1719"/>
    <w:rsid w:val="00AD2E8C"/>
    <w:rsid w:val="00AD3FFC"/>
    <w:rsid w:val="00AD4C16"/>
    <w:rsid w:val="00AD5065"/>
    <w:rsid w:val="00AD5CA5"/>
    <w:rsid w:val="00AD5F0B"/>
    <w:rsid w:val="00AD653B"/>
    <w:rsid w:val="00AD7C72"/>
    <w:rsid w:val="00AE03DD"/>
    <w:rsid w:val="00AE0E62"/>
    <w:rsid w:val="00AE11CA"/>
    <w:rsid w:val="00AE27D4"/>
    <w:rsid w:val="00AE2958"/>
    <w:rsid w:val="00AE4B4D"/>
    <w:rsid w:val="00AE7DE7"/>
    <w:rsid w:val="00AF02CC"/>
    <w:rsid w:val="00AF074E"/>
    <w:rsid w:val="00AF07FB"/>
    <w:rsid w:val="00AF1AF7"/>
    <w:rsid w:val="00AF1F38"/>
    <w:rsid w:val="00AF451A"/>
    <w:rsid w:val="00AF49AF"/>
    <w:rsid w:val="00AF57A6"/>
    <w:rsid w:val="00AF5927"/>
    <w:rsid w:val="00AF5E4F"/>
    <w:rsid w:val="00AF6155"/>
    <w:rsid w:val="00AF7CB1"/>
    <w:rsid w:val="00AF7DC8"/>
    <w:rsid w:val="00B00080"/>
    <w:rsid w:val="00B006DF"/>
    <w:rsid w:val="00B00756"/>
    <w:rsid w:val="00B00985"/>
    <w:rsid w:val="00B00CB4"/>
    <w:rsid w:val="00B017C2"/>
    <w:rsid w:val="00B02B07"/>
    <w:rsid w:val="00B03F67"/>
    <w:rsid w:val="00B04DA1"/>
    <w:rsid w:val="00B06489"/>
    <w:rsid w:val="00B071C8"/>
    <w:rsid w:val="00B10015"/>
    <w:rsid w:val="00B104D1"/>
    <w:rsid w:val="00B10923"/>
    <w:rsid w:val="00B11CA0"/>
    <w:rsid w:val="00B1290C"/>
    <w:rsid w:val="00B12964"/>
    <w:rsid w:val="00B149DD"/>
    <w:rsid w:val="00B15358"/>
    <w:rsid w:val="00B1550A"/>
    <w:rsid w:val="00B156F9"/>
    <w:rsid w:val="00B178A3"/>
    <w:rsid w:val="00B17AAE"/>
    <w:rsid w:val="00B17C92"/>
    <w:rsid w:val="00B209C2"/>
    <w:rsid w:val="00B21AA6"/>
    <w:rsid w:val="00B21B57"/>
    <w:rsid w:val="00B2289B"/>
    <w:rsid w:val="00B23014"/>
    <w:rsid w:val="00B24FDC"/>
    <w:rsid w:val="00B25033"/>
    <w:rsid w:val="00B25E41"/>
    <w:rsid w:val="00B2718D"/>
    <w:rsid w:val="00B3080A"/>
    <w:rsid w:val="00B30B90"/>
    <w:rsid w:val="00B318AD"/>
    <w:rsid w:val="00B32135"/>
    <w:rsid w:val="00B32A78"/>
    <w:rsid w:val="00B32DE5"/>
    <w:rsid w:val="00B32EE1"/>
    <w:rsid w:val="00B33888"/>
    <w:rsid w:val="00B34485"/>
    <w:rsid w:val="00B34537"/>
    <w:rsid w:val="00B34987"/>
    <w:rsid w:val="00B35209"/>
    <w:rsid w:val="00B35622"/>
    <w:rsid w:val="00B35647"/>
    <w:rsid w:val="00B35B0B"/>
    <w:rsid w:val="00B35BF3"/>
    <w:rsid w:val="00B36191"/>
    <w:rsid w:val="00B36D3B"/>
    <w:rsid w:val="00B37089"/>
    <w:rsid w:val="00B372BC"/>
    <w:rsid w:val="00B375F4"/>
    <w:rsid w:val="00B37917"/>
    <w:rsid w:val="00B37D87"/>
    <w:rsid w:val="00B37EF1"/>
    <w:rsid w:val="00B40D90"/>
    <w:rsid w:val="00B41BA4"/>
    <w:rsid w:val="00B42678"/>
    <w:rsid w:val="00B42C5B"/>
    <w:rsid w:val="00B432DF"/>
    <w:rsid w:val="00B434C2"/>
    <w:rsid w:val="00B44C7B"/>
    <w:rsid w:val="00B462E5"/>
    <w:rsid w:val="00B46EC5"/>
    <w:rsid w:val="00B4735F"/>
    <w:rsid w:val="00B47FC4"/>
    <w:rsid w:val="00B50129"/>
    <w:rsid w:val="00B50150"/>
    <w:rsid w:val="00B51934"/>
    <w:rsid w:val="00B51CC6"/>
    <w:rsid w:val="00B51EB1"/>
    <w:rsid w:val="00B52613"/>
    <w:rsid w:val="00B532CF"/>
    <w:rsid w:val="00B53654"/>
    <w:rsid w:val="00B536D7"/>
    <w:rsid w:val="00B54A74"/>
    <w:rsid w:val="00B54CFF"/>
    <w:rsid w:val="00B5524B"/>
    <w:rsid w:val="00B556A8"/>
    <w:rsid w:val="00B560F1"/>
    <w:rsid w:val="00B56296"/>
    <w:rsid w:val="00B56956"/>
    <w:rsid w:val="00B57641"/>
    <w:rsid w:val="00B57B35"/>
    <w:rsid w:val="00B60EF4"/>
    <w:rsid w:val="00B61274"/>
    <w:rsid w:val="00B6147C"/>
    <w:rsid w:val="00B62188"/>
    <w:rsid w:val="00B6224C"/>
    <w:rsid w:val="00B622D4"/>
    <w:rsid w:val="00B627F2"/>
    <w:rsid w:val="00B6393A"/>
    <w:rsid w:val="00B64A28"/>
    <w:rsid w:val="00B64E97"/>
    <w:rsid w:val="00B64ED9"/>
    <w:rsid w:val="00B674A7"/>
    <w:rsid w:val="00B6781B"/>
    <w:rsid w:val="00B67ADD"/>
    <w:rsid w:val="00B70D0C"/>
    <w:rsid w:val="00B70F2C"/>
    <w:rsid w:val="00B73C2D"/>
    <w:rsid w:val="00B74290"/>
    <w:rsid w:val="00B756B1"/>
    <w:rsid w:val="00B76BDD"/>
    <w:rsid w:val="00B7750A"/>
    <w:rsid w:val="00B80ADA"/>
    <w:rsid w:val="00B80CDE"/>
    <w:rsid w:val="00B8182E"/>
    <w:rsid w:val="00B81846"/>
    <w:rsid w:val="00B825E8"/>
    <w:rsid w:val="00B82CF1"/>
    <w:rsid w:val="00B855B8"/>
    <w:rsid w:val="00B85A89"/>
    <w:rsid w:val="00B85EEA"/>
    <w:rsid w:val="00B863F8"/>
    <w:rsid w:val="00B87448"/>
    <w:rsid w:val="00B874E0"/>
    <w:rsid w:val="00B87A7A"/>
    <w:rsid w:val="00B87E88"/>
    <w:rsid w:val="00B87FF8"/>
    <w:rsid w:val="00B90233"/>
    <w:rsid w:val="00B903AC"/>
    <w:rsid w:val="00B911CA"/>
    <w:rsid w:val="00B91659"/>
    <w:rsid w:val="00B93398"/>
    <w:rsid w:val="00B93538"/>
    <w:rsid w:val="00B9443A"/>
    <w:rsid w:val="00B94AA0"/>
    <w:rsid w:val="00B94E36"/>
    <w:rsid w:val="00B95813"/>
    <w:rsid w:val="00B9591C"/>
    <w:rsid w:val="00B95BB2"/>
    <w:rsid w:val="00B95EA8"/>
    <w:rsid w:val="00BA00D6"/>
    <w:rsid w:val="00BA01BC"/>
    <w:rsid w:val="00BA0449"/>
    <w:rsid w:val="00BA1935"/>
    <w:rsid w:val="00BA2033"/>
    <w:rsid w:val="00BA2563"/>
    <w:rsid w:val="00BA30A1"/>
    <w:rsid w:val="00BA3F9E"/>
    <w:rsid w:val="00BA4994"/>
    <w:rsid w:val="00BA4FEE"/>
    <w:rsid w:val="00BA5462"/>
    <w:rsid w:val="00BA5C78"/>
    <w:rsid w:val="00BA66E0"/>
    <w:rsid w:val="00BA67AD"/>
    <w:rsid w:val="00BA684C"/>
    <w:rsid w:val="00BA6851"/>
    <w:rsid w:val="00BA6A6A"/>
    <w:rsid w:val="00BA6F42"/>
    <w:rsid w:val="00BA780E"/>
    <w:rsid w:val="00BA7A5F"/>
    <w:rsid w:val="00BB0408"/>
    <w:rsid w:val="00BB0C74"/>
    <w:rsid w:val="00BB1604"/>
    <w:rsid w:val="00BB1AEA"/>
    <w:rsid w:val="00BB2EB2"/>
    <w:rsid w:val="00BB334C"/>
    <w:rsid w:val="00BB3599"/>
    <w:rsid w:val="00BB35B7"/>
    <w:rsid w:val="00BB3D0A"/>
    <w:rsid w:val="00BB3F25"/>
    <w:rsid w:val="00BB4120"/>
    <w:rsid w:val="00BB44B0"/>
    <w:rsid w:val="00BB46E5"/>
    <w:rsid w:val="00BB5FCD"/>
    <w:rsid w:val="00BB633C"/>
    <w:rsid w:val="00BB6A41"/>
    <w:rsid w:val="00BB6DB7"/>
    <w:rsid w:val="00BB7663"/>
    <w:rsid w:val="00BB77F0"/>
    <w:rsid w:val="00BC08AD"/>
    <w:rsid w:val="00BC450E"/>
    <w:rsid w:val="00BC4AD4"/>
    <w:rsid w:val="00BC4F7C"/>
    <w:rsid w:val="00BC5425"/>
    <w:rsid w:val="00BC6854"/>
    <w:rsid w:val="00BC7540"/>
    <w:rsid w:val="00BC7571"/>
    <w:rsid w:val="00BC7651"/>
    <w:rsid w:val="00BC7F05"/>
    <w:rsid w:val="00BD1E88"/>
    <w:rsid w:val="00BD240D"/>
    <w:rsid w:val="00BD2C25"/>
    <w:rsid w:val="00BD3BD5"/>
    <w:rsid w:val="00BD3FD9"/>
    <w:rsid w:val="00BD4558"/>
    <w:rsid w:val="00BD4DCD"/>
    <w:rsid w:val="00BD562A"/>
    <w:rsid w:val="00BD5DC9"/>
    <w:rsid w:val="00BD61CD"/>
    <w:rsid w:val="00BD6D0D"/>
    <w:rsid w:val="00BD73AF"/>
    <w:rsid w:val="00BE0ED3"/>
    <w:rsid w:val="00BE1752"/>
    <w:rsid w:val="00BE1F72"/>
    <w:rsid w:val="00BE238B"/>
    <w:rsid w:val="00BE2BA3"/>
    <w:rsid w:val="00BE33D2"/>
    <w:rsid w:val="00BE3940"/>
    <w:rsid w:val="00BE3ABC"/>
    <w:rsid w:val="00BE4891"/>
    <w:rsid w:val="00BE5306"/>
    <w:rsid w:val="00BE5321"/>
    <w:rsid w:val="00BE5720"/>
    <w:rsid w:val="00BE57DB"/>
    <w:rsid w:val="00BE5F5E"/>
    <w:rsid w:val="00BF0E3B"/>
    <w:rsid w:val="00BF0F56"/>
    <w:rsid w:val="00BF1198"/>
    <w:rsid w:val="00BF1A23"/>
    <w:rsid w:val="00BF29B7"/>
    <w:rsid w:val="00BF3052"/>
    <w:rsid w:val="00BF40B4"/>
    <w:rsid w:val="00BF5DE4"/>
    <w:rsid w:val="00BF680A"/>
    <w:rsid w:val="00BF7C9E"/>
    <w:rsid w:val="00BF7FF4"/>
    <w:rsid w:val="00C025B3"/>
    <w:rsid w:val="00C02CB4"/>
    <w:rsid w:val="00C03C19"/>
    <w:rsid w:val="00C059AB"/>
    <w:rsid w:val="00C06E19"/>
    <w:rsid w:val="00C1099D"/>
    <w:rsid w:val="00C10B91"/>
    <w:rsid w:val="00C11A7F"/>
    <w:rsid w:val="00C12E91"/>
    <w:rsid w:val="00C1401C"/>
    <w:rsid w:val="00C143EF"/>
    <w:rsid w:val="00C1523A"/>
    <w:rsid w:val="00C15781"/>
    <w:rsid w:val="00C15F35"/>
    <w:rsid w:val="00C2125F"/>
    <w:rsid w:val="00C2139E"/>
    <w:rsid w:val="00C2157C"/>
    <w:rsid w:val="00C2157D"/>
    <w:rsid w:val="00C219D6"/>
    <w:rsid w:val="00C21F16"/>
    <w:rsid w:val="00C228DD"/>
    <w:rsid w:val="00C23458"/>
    <w:rsid w:val="00C23DAD"/>
    <w:rsid w:val="00C24609"/>
    <w:rsid w:val="00C24DA2"/>
    <w:rsid w:val="00C24FD4"/>
    <w:rsid w:val="00C251C0"/>
    <w:rsid w:val="00C2752B"/>
    <w:rsid w:val="00C27FE6"/>
    <w:rsid w:val="00C301A8"/>
    <w:rsid w:val="00C30373"/>
    <w:rsid w:val="00C30387"/>
    <w:rsid w:val="00C30829"/>
    <w:rsid w:val="00C30B4A"/>
    <w:rsid w:val="00C317B8"/>
    <w:rsid w:val="00C33886"/>
    <w:rsid w:val="00C33FBF"/>
    <w:rsid w:val="00C346BB"/>
    <w:rsid w:val="00C3514D"/>
    <w:rsid w:val="00C3572C"/>
    <w:rsid w:val="00C35A8D"/>
    <w:rsid w:val="00C35C46"/>
    <w:rsid w:val="00C36589"/>
    <w:rsid w:val="00C36D55"/>
    <w:rsid w:val="00C3705C"/>
    <w:rsid w:val="00C371A5"/>
    <w:rsid w:val="00C404A9"/>
    <w:rsid w:val="00C40B19"/>
    <w:rsid w:val="00C40C17"/>
    <w:rsid w:val="00C41959"/>
    <w:rsid w:val="00C41D39"/>
    <w:rsid w:val="00C43325"/>
    <w:rsid w:val="00C43B51"/>
    <w:rsid w:val="00C4485C"/>
    <w:rsid w:val="00C47790"/>
    <w:rsid w:val="00C47BF6"/>
    <w:rsid w:val="00C50029"/>
    <w:rsid w:val="00C500CC"/>
    <w:rsid w:val="00C52877"/>
    <w:rsid w:val="00C5393D"/>
    <w:rsid w:val="00C5394E"/>
    <w:rsid w:val="00C541D6"/>
    <w:rsid w:val="00C54202"/>
    <w:rsid w:val="00C55CBF"/>
    <w:rsid w:val="00C5638A"/>
    <w:rsid w:val="00C56EB0"/>
    <w:rsid w:val="00C573AC"/>
    <w:rsid w:val="00C57D87"/>
    <w:rsid w:val="00C57F91"/>
    <w:rsid w:val="00C6009A"/>
    <w:rsid w:val="00C63D05"/>
    <w:rsid w:val="00C646B9"/>
    <w:rsid w:val="00C64B20"/>
    <w:rsid w:val="00C64C69"/>
    <w:rsid w:val="00C656EE"/>
    <w:rsid w:val="00C6617D"/>
    <w:rsid w:val="00C667E5"/>
    <w:rsid w:val="00C67012"/>
    <w:rsid w:val="00C67813"/>
    <w:rsid w:val="00C678FB"/>
    <w:rsid w:val="00C679CA"/>
    <w:rsid w:val="00C71869"/>
    <w:rsid w:val="00C72D2A"/>
    <w:rsid w:val="00C738D6"/>
    <w:rsid w:val="00C73A9F"/>
    <w:rsid w:val="00C73AD3"/>
    <w:rsid w:val="00C74302"/>
    <w:rsid w:val="00C749B2"/>
    <w:rsid w:val="00C75613"/>
    <w:rsid w:val="00C75F34"/>
    <w:rsid w:val="00C772FE"/>
    <w:rsid w:val="00C80F02"/>
    <w:rsid w:val="00C811AD"/>
    <w:rsid w:val="00C816A5"/>
    <w:rsid w:val="00C8202F"/>
    <w:rsid w:val="00C8243E"/>
    <w:rsid w:val="00C8283A"/>
    <w:rsid w:val="00C8316A"/>
    <w:rsid w:val="00C83572"/>
    <w:rsid w:val="00C8384E"/>
    <w:rsid w:val="00C84260"/>
    <w:rsid w:val="00C84564"/>
    <w:rsid w:val="00C845FC"/>
    <w:rsid w:val="00C85175"/>
    <w:rsid w:val="00C85420"/>
    <w:rsid w:val="00C87D20"/>
    <w:rsid w:val="00C87D9B"/>
    <w:rsid w:val="00C90678"/>
    <w:rsid w:val="00C908B1"/>
    <w:rsid w:val="00C911EC"/>
    <w:rsid w:val="00C91524"/>
    <w:rsid w:val="00C92F10"/>
    <w:rsid w:val="00C9352A"/>
    <w:rsid w:val="00C95B98"/>
    <w:rsid w:val="00C961B2"/>
    <w:rsid w:val="00C97834"/>
    <w:rsid w:val="00C97F0F"/>
    <w:rsid w:val="00CA0047"/>
    <w:rsid w:val="00CA0317"/>
    <w:rsid w:val="00CA0664"/>
    <w:rsid w:val="00CA06F9"/>
    <w:rsid w:val="00CA1FD2"/>
    <w:rsid w:val="00CA345B"/>
    <w:rsid w:val="00CA37C7"/>
    <w:rsid w:val="00CA3A03"/>
    <w:rsid w:val="00CA3AAE"/>
    <w:rsid w:val="00CA3D87"/>
    <w:rsid w:val="00CA43DD"/>
    <w:rsid w:val="00CA4B91"/>
    <w:rsid w:val="00CA7032"/>
    <w:rsid w:val="00CA7350"/>
    <w:rsid w:val="00CA7D36"/>
    <w:rsid w:val="00CB03D0"/>
    <w:rsid w:val="00CB0712"/>
    <w:rsid w:val="00CB0E20"/>
    <w:rsid w:val="00CB1609"/>
    <w:rsid w:val="00CB1AF5"/>
    <w:rsid w:val="00CB1BBC"/>
    <w:rsid w:val="00CB2475"/>
    <w:rsid w:val="00CB2C2C"/>
    <w:rsid w:val="00CB4614"/>
    <w:rsid w:val="00CB493D"/>
    <w:rsid w:val="00CB49C8"/>
    <w:rsid w:val="00CB5401"/>
    <w:rsid w:val="00CB5FF6"/>
    <w:rsid w:val="00CB66EC"/>
    <w:rsid w:val="00CB78D1"/>
    <w:rsid w:val="00CC1832"/>
    <w:rsid w:val="00CC197E"/>
    <w:rsid w:val="00CC2337"/>
    <w:rsid w:val="00CC4655"/>
    <w:rsid w:val="00CC52DB"/>
    <w:rsid w:val="00CC5A28"/>
    <w:rsid w:val="00CC63BC"/>
    <w:rsid w:val="00CC695F"/>
    <w:rsid w:val="00CC7B25"/>
    <w:rsid w:val="00CD0677"/>
    <w:rsid w:val="00CD079B"/>
    <w:rsid w:val="00CD10E7"/>
    <w:rsid w:val="00CD1B13"/>
    <w:rsid w:val="00CD1C91"/>
    <w:rsid w:val="00CD241E"/>
    <w:rsid w:val="00CD292B"/>
    <w:rsid w:val="00CD2A1A"/>
    <w:rsid w:val="00CD49A1"/>
    <w:rsid w:val="00CD4A5F"/>
    <w:rsid w:val="00CD5982"/>
    <w:rsid w:val="00CD7020"/>
    <w:rsid w:val="00CD7632"/>
    <w:rsid w:val="00CD771C"/>
    <w:rsid w:val="00CD7F4D"/>
    <w:rsid w:val="00CE014B"/>
    <w:rsid w:val="00CE0159"/>
    <w:rsid w:val="00CE0CE6"/>
    <w:rsid w:val="00CE0F35"/>
    <w:rsid w:val="00CE1A25"/>
    <w:rsid w:val="00CE1D49"/>
    <w:rsid w:val="00CE2253"/>
    <w:rsid w:val="00CE2676"/>
    <w:rsid w:val="00CE3CA4"/>
    <w:rsid w:val="00CE45A7"/>
    <w:rsid w:val="00CE5716"/>
    <w:rsid w:val="00CE57F8"/>
    <w:rsid w:val="00CE5E05"/>
    <w:rsid w:val="00CE6BE9"/>
    <w:rsid w:val="00CE6E28"/>
    <w:rsid w:val="00CE6FA0"/>
    <w:rsid w:val="00CE7C69"/>
    <w:rsid w:val="00CF01C1"/>
    <w:rsid w:val="00CF0B54"/>
    <w:rsid w:val="00CF0DA6"/>
    <w:rsid w:val="00CF1B83"/>
    <w:rsid w:val="00CF2B5D"/>
    <w:rsid w:val="00CF2C99"/>
    <w:rsid w:val="00CF41A2"/>
    <w:rsid w:val="00CF4728"/>
    <w:rsid w:val="00CF5001"/>
    <w:rsid w:val="00CF5170"/>
    <w:rsid w:val="00CF51C0"/>
    <w:rsid w:val="00CF56D7"/>
    <w:rsid w:val="00CF588C"/>
    <w:rsid w:val="00CF5DA1"/>
    <w:rsid w:val="00CF5E9F"/>
    <w:rsid w:val="00CF621C"/>
    <w:rsid w:val="00CF7877"/>
    <w:rsid w:val="00CF7A32"/>
    <w:rsid w:val="00CF7B02"/>
    <w:rsid w:val="00CF7E84"/>
    <w:rsid w:val="00D003C6"/>
    <w:rsid w:val="00D0129E"/>
    <w:rsid w:val="00D01B43"/>
    <w:rsid w:val="00D0210A"/>
    <w:rsid w:val="00D03190"/>
    <w:rsid w:val="00D03457"/>
    <w:rsid w:val="00D0395D"/>
    <w:rsid w:val="00D047D3"/>
    <w:rsid w:val="00D05AD8"/>
    <w:rsid w:val="00D0771E"/>
    <w:rsid w:val="00D112F3"/>
    <w:rsid w:val="00D11558"/>
    <w:rsid w:val="00D116A3"/>
    <w:rsid w:val="00D12023"/>
    <w:rsid w:val="00D124D3"/>
    <w:rsid w:val="00D1335D"/>
    <w:rsid w:val="00D137D8"/>
    <w:rsid w:val="00D13817"/>
    <w:rsid w:val="00D140B7"/>
    <w:rsid w:val="00D14D50"/>
    <w:rsid w:val="00D155B4"/>
    <w:rsid w:val="00D15B78"/>
    <w:rsid w:val="00D15C36"/>
    <w:rsid w:val="00D15CF8"/>
    <w:rsid w:val="00D16AB4"/>
    <w:rsid w:val="00D23092"/>
    <w:rsid w:val="00D25A99"/>
    <w:rsid w:val="00D2646E"/>
    <w:rsid w:val="00D26557"/>
    <w:rsid w:val="00D267A0"/>
    <w:rsid w:val="00D2787A"/>
    <w:rsid w:val="00D31283"/>
    <w:rsid w:val="00D31DB2"/>
    <w:rsid w:val="00D32E01"/>
    <w:rsid w:val="00D32E8A"/>
    <w:rsid w:val="00D331EF"/>
    <w:rsid w:val="00D33393"/>
    <w:rsid w:val="00D33ACA"/>
    <w:rsid w:val="00D348CF"/>
    <w:rsid w:val="00D34B67"/>
    <w:rsid w:val="00D34EE8"/>
    <w:rsid w:val="00D3552B"/>
    <w:rsid w:val="00D35EB6"/>
    <w:rsid w:val="00D36218"/>
    <w:rsid w:val="00D3744B"/>
    <w:rsid w:val="00D40521"/>
    <w:rsid w:val="00D4071D"/>
    <w:rsid w:val="00D40750"/>
    <w:rsid w:val="00D417E1"/>
    <w:rsid w:val="00D42064"/>
    <w:rsid w:val="00D430DC"/>
    <w:rsid w:val="00D433F8"/>
    <w:rsid w:val="00D45106"/>
    <w:rsid w:val="00D462C1"/>
    <w:rsid w:val="00D4655B"/>
    <w:rsid w:val="00D46703"/>
    <w:rsid w:val="00D46766"/>
    <w:rsid w:val="00D4727F"/>
    <w:rsid w:val="00D47AF1"/>
    <w:rsid w:val="00D50906"/>
    <w:rsid w:val="00D52F58"/>
    <w:rsid w:val="00D52F95"/>
    <w:rsid w:val="00D53057"/>
    <w:rsid w:val="00D5452D"/>
    <w:rsid w:val="00D5503E"/>
    <w:rsid w:val="00D551FC"/>
    <w:rsid w:val="00D5557B"/>
    <w:rsid w:val="00D55775"/>
    <w:rsid w:val="00D561D6"/>
    <w:rsid w:val="00D565C4"/>
    <w:rsid w:val="00D567B0"/>
    <w:rsid w:val="00D6006B"/>
    <w:rsid w:val="00D60CAD"/>
    <w:rsid w:val="00D60EF1"/>
    <w:rsid w:val="00D60F13"/>
    <w:rsid w:val="00D610DE"/>
    <w:rsid w:val="00D614C8"/>
    <w:rsid w:val="00D614D1"/>
    <w:rsid w:val="00D621E0"/>
    <w:rsid w:val="00D622FA"/>
    <w:rsid w:val="00D62466"/>
    <w:rsid w:val="00D63541"/>
    <w:rsid w:val="00D63B3F"/>
    <w:rsid w:val="00D6400F"/>
    <w:rsid w:val="00D640C3"/>
    <w:rsid w:val="00D70A45"/>
    <w:rsid w:val="00D721BC"/>
    <w:rsid w:val="00D7229C"/>
    <w:rsid w:val="00D72E82"/>
    <w:rsid w:val="00D733BE"/>
    <w:rsid w:val="00D7381C"/>
    <w:rsid w:val="00D743CA"/>
    <w:rsid w:val="00D753BD"/>
    <w:rsid w:val="00D770D2"/>
    <w:rsid w:val="00D80C52"/>
    <w:rsid w:val="00D80D3B"/>
    <w:rsid w:val="00D81C8C"/>
    <w:rsid w:val="00D81F4D"/>
    <w:rsid w:val="00D82383"/>
    <w:rsid w:val="00D826D1"/>
    <w:rsid w:val="00D82A1C"/>
    <w:rsid w:val="00D82E82"/>
    <w:rsid w:val="00D8465B"/>
    <w:rsid w:val="00D85449"/>
    <w:rsid w:val="00D8561E"/>
    <w:rsid w:val="00D8583C"/>
    <w:rsid w:val="00D85DC4"/>
    <w:rsid w:val="00D86955"/>
    <w:rsid w:val="00D869B5"/>
    <w:rsid w:val="00D907BA"/>
    <w:rsid w:val="00D90B5C"/>
    <w:rsid w:val="00D9105B"/>
    <w:rsid w:val="00D91109"/>
    <w:rsid w:val="00D91CEA"/>
    <w:rsid w:val="00D93A31"/>
    <w:rsid w:val="00D93AE2"/>
    <w:rsid w:val="00D9544E"/>
    <w:rsid w:val="00D958F6"/>
    <w:rsid w:val="00D9653D"/>
    <w:rsid w:val="00D96BA1"/>
    <w:rsid w:val="00D97D07"/>
    <w:rsid w:val="00DA09E1"/>
    <w:rsid w:val="00DA0A4E"/>
    <w:rsid w:val="00DA0CBD"/>
    <w:rsid w:val="00DA0ED9"/>
    <w:rsid w:val="00DA1D80"/>
    <w:rsid w:val="00DA22E8"/>
    <w:rsid w:val="00DA2403"/>
    <w:rsid w:val="00DA3087"/>
    <w:rsid w:val="00DA4D32"/>
    <w:rsid w:val="00DA508A"/>
    <w:rsid w:val="00DA6266"/>
    <w:rsid w:val="00DB1BFC"/>
    <w:rsid w:val="00DB1D7F"/>
    <w:rsid w:val="00DB2EDC"/>
    <w:rsid w:val="00DB4387"/>
    <w:rsid w:val="00DB45C7"/>
    <w:rsid w:val="00DB5379"/>
    <w:rsid w:val="00DB5F7E"/>
    <w:rsid w:val="00DB67FF"/>
    <w:rsid w:val="00DB7A25"/>
    <w:rsid w:val="00DB7C2C"/>
    <w:rsid w:val="00DC1C15"/>
    <w:rsid w:val="00DC301D"/>
    <w:rsid w:val="00DC44BA"/>
    <w:rsid w:val="00DC6597"/>
    <w:rsid w:val="00DC6A1D"/>
    <w:rsid w:val="00DC728A"/>
    <w:rsid w:val="00DC7C1D"/>
    <w:rsid w:val="00DC7C3C"/>
    <w:rsid w:val="00DD06C9"/>
    <w:rsid w:val="00DD0A6E"/>
    <w:rsid w:val="00DD1FE2"/>
    <w:rsid w:val="00DD21D3"/>
    <w:rsid w:val="00DD2CD8"/>
    <w:rsid w:val="00DD2D02"/>
    <w:rsid w:val="00DD345E"/>
    <w:rsid w:val="00DD34CD"/>
    <w:rsid w:val="00DD351E"/>
    <w:rsid w:val="00DD3DA9"/>
    <w:rsid w:val="00DD3E02"/>
    <w:rsid w:val="00DD447E"/>
    <w:rsid w:val="00DD4B5C"/>
    <w:rsid w:val="00DD6CD4"/>
    <w:rsid w:val="00DE18DB"/>
    <w:rsid w:val="00DE5911"/>
    <w:rsid w:val="00DE5DCD"/>
    <w:rsid w:val="00DE5FF9"/>
    <w:rsid w:val="00DE6A34"/>
    <w:rsid w:val="00DE7213"/>
    <w:rsid w:val="00DE7F37"/>
    <w:rsid w:val="00DE7F98"/>
    <w:rsid w:val="00DF0713"/>
    <w:rsid w:val="00DF138F"/>
    <w:rsid w:val="00DF4B3D"/>
    <w:rsid w:val="00DF581A"/>
    <w:rsid w:val="00DF5F3C"/>
    <w:rsid w:val="00DF65A0"/>
    <w:rsid w:val="00DF69CE"/>
    <w:rsid w:val="00DF6AED"/>
    <w:rsid w:val="00DF6E5A"/>
    <w:rsid w:val="00DF75FE"/>
    <w:rsid w:val="00E01502"/>
    <w:rsid w:val="00E0193F"/>
    <w:rsid w:val="00E02612"/>
    <w:rsid w:val="00E043CC"/>
    <w:rsid w:val="00E04469"/>
    <w:rsid w:val="00E04C8D"/>
    <w:rsid w:val="00E05914"/>
    <w:rsid w:val="00E065F7"/>
    <w:rsid w:val="00E06D87"/>
    <w:rsid w:val="00E071BC"/>
    <w:rsid w:val="00E07E61"/>
    <w:rsid w:val="00E1001A"/>
    <w:rsid w:val="00E10037"/>
    <w:rsid w:val="00E10603"/>
    <w:rsid w:val="00E10C86"/>
    <w:rsid w:val="00E10CA6"/>
    <w:rsid w:val="00E10DC5"/>
    <w:rsid w:val="00E10E23"/>
    <w:rsid w:val="00E11882"/>
    <w:rsid w:val="00E12EDC"/>
    <w:rsid w:val="00E1353E"/>
    <w:rsid w:val="00E13732"/>
    <w:rsid w:val="00E13866"/>
    <w:rsid w:val="00E1584F"/>
    <w:rsid w:val="00E15FF7"/>
    <w:rsid w:val="00E162A2"/>
    <w:rsid w:val="00E169BD"/>
    <w:rsid w:val="00E170C9"/>
    <w:rsid w:val="00E17843"/>
    <w:rsid w:val="00E17EE3"/>
    <w:rsid w:val="00E20074"/>
    <w:rsid w:val="00E20983"/>
    <w:rsid w:val="00E20B6B"/>
    <w:rsid w:val="00E21344"/>
    <w:rsid w:val="00E21469"/>
    <w:rsid w:val="00E21593"/>
    <w:rsid w:val="00E22B59"/>
    <w:rsid w:val="00E25070"/>
    <w:rsid w:val="00E27248"/>
    <w:rsid w:val="00E275C8"/>
    <w:rsid w:val="00E277A6"/>
    <w:rsid w:val="00E30B53"/>
    <w:rsid w:val="00E31446"/>
    <w:rsid w:val="00E32279"/>
    <w:rsid w:val="00E32FC9"/>
    <w:rsid w:val="00E33720"/>
    <w:rsid w:val="00E338F0"/>
    <w:rsid w:val="00E3456D"/>
    <w:rsid w:val="00E34BB4"/>
    <w:rsid w:val="00E34DDB"/>
    <w:rsid w:val="00E362C4"/>
    <w:rsid w:val="00E366AA"/>
    <w:rsid w:val="00E36AFD"/>
    <w:rsid w:val="00E36BCE"/>
    <w:rsid w:val="00E40192"/>
    <w:rsid w:val="00E42296"/>
    <w:rsid w:val="00E422CA"/>
    <w:rsid w:val="00E4288A"/>
    <w:rsid w:val="00E43573"/>
    <w:rsid w:val="00E44B3F"/>
    <w:rsid w:val="00E45CB4"/>
    <w:rsid w:val="00E46398"/>
    <w:rsid w:val="00E47153"/>
    <w:rsid w:val="00E471A9"/>
    <w:rsid w:val="00E478D0"/>
    <w:rsid w:val="00E50199"/>
    <w:rsid w:val="00E5103D"/>
    <w:rsid w:val="00E512EF"/>
    <w:rsid w:val="00E51A1B"/>
    <w:rsid w:val="00E51C5B"/>
    <w:rsid w:val="00E525D0"/>
    <w:rsid w:val="00E53C66"/>
    <w:rsid w:val="00E54A5B"/>
    <w:rsid w:val="00E54B9A"/>
    <w:rsid w:val="00E60E35"/>
    <w:rsid w:val="00E611B0"/>
    <w:rsid w:val="00E6204C"/>
    <w:rsid w:val="00E62B33"/>
    <w:rsid w:val="00E64B5B"/>
    <w:rsid w:val="00E64D55"/>
    <w:rsid w:val="00E64D63"/>
    <w:rsid w:val="00E64EF2"/>
    <w:rsid w:val="00E6594A"/>
    <w:rsid w:val="00E6667E"/>
    <w:rsid w:val="00E714BB"/>
    <w:rsid w:val="00E71774"/>
    <w:rsid w:val="00E75DB3"/>
    <w:rsid w:val="00E76D47"/>
    <w:rsid w:val="00E77891"/>
    <w:rsid w:val="00E80209"/>
    <w:rsid w:val="00E8123A"/>
    <w:rsid w:val="00E81626"/>
    <w:rsid w:val="00E82671"/>
    <w:rsid w:val="00E828E1"/>
    <w:rsid w:val="00E833D4"/>
    <w:rsid w:val="00E836F4"/>
    <w:rsid w:val="00E84D97"/>
    <w:rsid w:val="00E85228"/>
    <w:rsid w:val="00E853C4"/>
    <w:rsid w:val="00E86A04"/>
    <w:rsid w:val="00E877E6"/>
    <w:rsid w:val="00E87998"/>
    <w:rsid w:val="00E91042"/>
    <w:rsid w:val="00E9126A"/>
    <w:rsid w:val="00E91933"/>
    <w:rsid w:val="00E92294"/>
    <w:rsid w:val="00E92474"/>
    <w:rsid w:val="00E93B6B"/>
    <w:rsid w:val="00E948C6"/>
    <w:rsid w:val="00E94ECB"/>
    <w:rsid w:val="00E954DB"/>
    <w:rsid w:val="00E95C73"/>
    <w:rsid w:val="00E96963"/>
    <w:rsid w:val="00E97387"/>
    <w:rsid w:val="00E973EC"/>
    <w:rsid w:val="00E976D5"/>
    <w:rsid w:val="00EA01B2"/>
    <w:rsid w:val="00EA1371"/>
    <w:rsid w:val="00EA25B7"/>
    <w:rsid w:val="00EA3356"/>
    <w:rsid w:val="00EA39CA"/>
    <w:rsid w:val="00EA3B93"/>
    <w:rsid w:val="00EA5032"/>
    <w:rsid w:val="00EA5183"/>
    <w:rsid w:val="00EA594E"/>
    <w:rsid w:val="00EA65AF"/>
    <w:rsid w:val="00EA786E"/>
    <w:rsid w:val="00EB1EDD"/>
    <w:rsid w:val="00EB230A"/>
    <w:rsid w:val="00EB29FC"/>
    <w:rsid w:val="00EB4601"/>
    <w:rsid w:val="00EB4B06"/>
    <w:rsid w:val="00EB544E"/>
    <w:rsid w:val="00EB5D3C"/>
    <w:rsid w:val="00EB5D89"/>
    <w:rsid w:val="00EB5DE0"/>
    <w:rsid w:val="00EB5FDD"/>
    <w:rsid w:val="00EB6192"/>
    <w:rsid w:val="00EB6CE0"/>
    <w:rsid w:val="00EC1577"/>
    <w:rsid w:val="00EC1665"/>
    <w:rsid w:val="00EC1981"/>
    <w:rsid w:val="00EC2AA4"/>
    <w:rsid w:val="00EC4546"/>
    <w:rsid w:val="00EC514F"/>
    <w:rsid w:val="00EC534D"/>
    <w:rsid w:val="00EC55CB"/>
    <w:rsid w:val="00EC5DCD"/>
    <w:rsid w:val="00EC6751"/>
    <w:rsid w:val="00EC698B"/>
    <w:rsid w:val="00EC7BC4"/>
    <w:rsid w:val="00ED0179"/>
    <w:rsid w:val="00ED02A8"/>
    <w:rsid w:val="00ED16AF"/>
    <w:rsid w:val="00ED2103"/>
    <w:rsid w:val="00ED2CAA"/>
    <w:rsid w:val="00ED2E19"/>
    <w:rsid w:val="00ED314A"/>
    <w:rsid w:val="00ED39D1"/>
    <w:rsid w:val="00ED409E"/>
    <w:rsid w:val="00ED42A8"/>
    <w:rsid w:val="00ED45F7"/>
    <w:rsid w:val="00ED4E1E"/>
    <w:rsid w:val="00ED57A2"/>
    <w:rsid w:val="00ED5E15"/>
    <w:rsid w:val="00ED5E16"/>
    <w:rsid w:val="00ED61D2"/>
    <w:rsid w:val="00ED6984"/>
    <w:rsid w:val="00ED74EA"/>
    <w:rsid w:val="00EE2073"/>
    <w:rsid w:val="00EE2A94"/>
    <w:rsid w:val="00EE37DB"/>
    <w:rsid w:val="00EE3FCA"/>
    <w:rsid w:val="00EE4AB6"/>
    <w:rsid w:val="00EE4DBE"/>
    <w:rsid w:val="00EE5A28"/>
    <w:rsid w:val="00EE5B37"/>
    <w:rsid w:val="00EE6095"/>
    <w:rsid w:val="00EE64DC"/>
    <w:rsid w:val="00EE6A66"/>
    <w:rsid w:val="00EE7DCB"/>
    <w:rsid w:val="00EF07F3"/>
    <w:rsid w:val="00EF132A"/>
    <w:rsid w:val="00EF207F"/>
    <w:rsid w:val="00EF283B"/>
    <w:rsid w:val="00EF49F8"/>
    <w:rsid w:val="00EF683F"/>
    <w:rsid w:val="00EF6D36"/>
    <w:rsid w:val="00EF6ED1"/>
    <w:rsid w:val="00EF7D8D"/>
    <w:rsid w:val="00F0151E"/>
    <w:rsid w:val="00F01652"/>
    <w:rsid w:val="00F02440"/>
    <w:rsid w:val="00F026A9"/>
    <w:rsid w:val="00F0271F"/>
    <w:rsid w:val="00F0294D"/>
    <w:rsid w:val="00F02A45"/>
    <w:rsid w:val="00F02D8C"/>
    <w:rsid w:val="00F0335F"/>
    <w:rsid w:val="00F044AC"/>
    <w:rsid w:val="00F045D8"/>
    <w:rsid w:val="00F04A01"/>
    <w:rsid w:val="00F04FBF"/>
    <w:rsid w:val="00F052F2"/>
    <w:rsid w:val="00F07319"/>
    <w:rsid w:val="00F07BDF"/>
    <w:rsid w:val="00F118DB"/>
    <w:rsid w:val="00F11C7F"/>
    <w:rsid w:val="00F120F9"/>
    <w:rsid w:val="00F1222E"/>
    <w:rsid w:val="00F130A8"/>
    <w:rsid w:val="00F130BE"/>
    <w:rsid w:val="00F13772"/>
    <w:rsid w:val="00F146B8"/>
    <w:rsid w:val="00F150F2"/>
    <w:rsid w:val="00F153B6"/>
    <w:rsid w:val="00F15917"/>
    <w:rsid w:val="00F15B5E"/>
    <w:rsid w:val="00F16833"/>
    <w:rsid w:val="00F20825"/>
    <w:rsid w:val="00F21293"/>
    <w:rsid w:val="00F21494"/>
    <w:rsid w:val="00F21758"/>
    <w:rsid w:val="00F22EC3"/>
    <w:rsid w:val="00F2422D"/>
    <w:rsid w:val="00F2623F"/>
    <w:rsid w:val="00F26DA8"/>
    <w:rsid w:val="00F27514"/>
    <w:rsid w:val="00F30556"/>
    <w:rsid w:val="00F30C05"/>
    <w:rsid w:val="00F30EED"/>
    <w:rsid w:val="00F32AEF"/>
    <w:rsid w:val="00F32C9F"/>
    <w:rsid w:val="00F32DB6"/>
    <w:rsid w:val="00F33146"/>
    <w:rsid w:val="00F33AA6"/>
    <w:rsid w:val="00F34FB7"/>
    <w:rsid w:val="00F358F0"/>
    <w:rsid w:val="00F3590B"/>
    <w:rsid w:val="00F35A1E"/>
    <w:rsid w:val="00F35C78"/>
    <w:rsid w:val="00F36051"/>
    <w:rsid w:val="00F36176"/>
    <w:rsid w:val="00F36E40"/>
    <w:rsid w:val="00F37ED3"/>
    <w:rsid w:val="00F40BBF"/>
    <w:rsid w:val="00F40DCE"/>
    <w:rsid w:val="00F41607"/>
    <w:rsid w:val="00F41EAC"/>
    <w:rsid w:val="00F42393"/>
    <w:rsid w:val="00F42B1B"/>
    <w:rsid w:val="00F440DC"/>
    <w:rsid w:val="00F4422D"/>
    <w:rsid w:val="00F447B4"/>
    <w:rsid w:val="00F4512A"/>
    <w:rsid w:val="00F454B0"/>
    <w:rsid w:val="00F45CDF"/>
    <w:rsid w:val="00F46810"/>
    <w:rsid w:val="00F470A5"/>
    <w:rsid w:val="00F504F1"/>
    <w:rsid w:val="00F508FD"/>
    <w:rsid w:val="00F509C8"/>
    <w:rsid w:val="00F51734"/>
    <w:rsid w:val="00F51AB8"/>
    <w:rsid w:val="00F526D5"/>
    <w:rsid w:val="00F547CD"/>
    <w:rsid w:val="00F54A52"/>
    <w:rsid w:val="00F5581B"/>
    <w:rsid w:val="00F55AC3"/>
    <w:rsid w:val="00F55DDE"/>
    <w:rsid w:val="00F55F3E"/>
    <w:rsid w:val="00F56702"/>
    <w:rsid w:val="00F5671B"/>
    <w:rsid w:val="00F56836"/>
    <w:rsid w:val="00F56D7C"/>
    <w:rsid w:val="00F56E0D"/>
    <w:rsid w:val="00F607E5"/>
    <w:rsid w:val="00F609CF"/>
    <w:rsid w:val="00F61882"/>
    <w:rsid w:val="00F618C6"/>
    <w:rsid w:val="00F6227F"/>
    <w:rsid w:val="00F63857"/>
    <w:rsid w:val="00F63B9C"/>
    <w:rsid w:val="00F646B7"/>
    <w:rsid w:val="00F6494A"/>
    <w:rsid w:val="00F65586"/>
    <w:rsid w:val="00F6784B"/>
    <w:rsid w:val="00F70761"/>
    <w:rsid w:val="00F707C8"/>
    <w:rsid w:val="00F718A0"/>
    <w:rsid w:val="00F71BEB"/>
    <w:rsid w:val="00F728AB"/>
    <w:rsid w:val="00F73A5F"/>
    <w:rsid w:val="00F73FEF"/>
    <w:rsid w:val="00F7412F"/>
    <w:rsid w:val="00F766E6"/>
    <w:rsid w:val="00F80253"/>
    <w:rsid w:val="00F80D79"/>
    <w:rsid w:val="00F80EE4"/>
    <w:rsid w:val="00F8150A"/>
    <w:rsid w:val="00F81A04"/>
    <w:rsid w:val="00F8299B"/>
    <w:rsid w:val="00F83361"/>
    <w:rsid w:val="00F84017"/>
    <w:rsid w:val="00F84C0C"/>
    <w:rsid w:val="00F84D23"/>
    <w:rsid w:val="00F8662A"/>
    <w:rsid w:val="00F8732F"/>
    <w:rsid w:val="00F90219"/>
    <w:rsid w:val="00F90F2C"/>
    <w:rsid w:val="00F9123B"/>
    <w:rsid w:val="00F91786"/>
    <w:rsid w:val="00F91F42"/>
    <w:rsid w:val="00F9241B"/>
    <w:rsid w:val="00F927FE"/>
    <w:rsid w:val="00F92826"/>
    <w:rsid w:val="00F92912"/>
    <w:rsid w:val="00F9496F"/>
    <w:rsid w:val="00F95000"/>
    <w:rsid w:val="00F95DC4"/>
    <w:rsid w:val="00F9647F"/>
    <w:rsid w:val="00F96DD8"/>
    <w:rsid w:val="00F96F03"/>
    <w:rsid w:val="00F9789D"/>
    <w:rsid w:val="00FA0EDE"/>
    <w:rsid w:val="00FA0F71"/>
    <w:rsid w:val="00FA1246"/>
    <w:rsid w:val="00FA1862"/>
    <w:rsid w:val="00FA1DE7"/>
    <w:rsid w:val="00FA1F6C"/>
    <w:rsid w:val="00FA230B"/>
    <w:rsid w:val="00FA2B00"/>
    <w:rsid w:val="00FA2B15"/>
    <w:rsid w:val="00FA3610"/>
    <w:rsid w:val="00FA36C2"/>
    <w:rsid w:val="00FA3758"/>
    <w:rsid w:val="00FA406C"/>
    <w:rsid w:val="00FA4530"/>
    <w:rsid w:val="00FA4D8D"/>
    <w:rsid w:val="00FA547B"/>
    <w:rsid w:val="00FA758A"/>
    <w:rsid w:val="00FA7CB3"/>
    <w:rsid w:val="00FB02BB"/>
    <w:rsid w:val="00FB10B3"/>
    <w:rsid w:val="00FB198B"/>
    <w:rsid w:val="00FB1B24"/>
    <w:rsid w:val="00FB1C19"/>
    <w:rsid w:val="00FB21D5"/>
    <w:rsid w:val="00FB271A"/>
    <w:rsid w:val="00FB2850"/>
    <w:rsid w:val="00FB2A9E"/>
    <w:rsid w:val="00FB3262"/>
    <w:rsid w:val="00FB37D4"/>
    <w:rsid w:val="00FB4BB0"/>
    <w:rsid w:val="00FB547C"/>
    <w:rsid w:val="00FB7190"/>
    <w:rsid w:val="00FB7673"/>
    <w:rsid w:val="00FC1300"/>
    <w:rsid w:val="00FC1C75"/>
    <w:rsid w:val="00FC2953"/>
    <w:rsid w:val="00FC35CE"/>
    <w:rsid w:val="00FC3C99"/>
    <w:rsid w:val="00FC4A01"/>
    <w:rsid w:val="00FC57F7"/>
    <w:rsid w:val="00FC74C2"/>
    <w:rsid w:val="00FC770C"/>
    <w:rsid w:val="00FC7778"/>
    <w:rsid w:val="00FC7856"/>
    <w:rsid w:val="00FC7E9B"/>
    <w:rsid w:val="00FD03F1"/>
    <w:rsid w:val="00FD0A33"/>
    <w:rsid w:val="00FD19D0"/>
    <w:rsid w:val="00FD332D"/>
    <w:rsid w:val="00FD35A5"/>
    <w:rsid w:val="00FD3CD3"/>
    <w:rsid w:val="00FD40CC"/>
    <w:rsid w:val="00FD4E74"/>
    <w:rsid w:val="00FD56C0"/>
    <w:rsid w:val="00FD5B98"/>
    <w:rsid w:val="00FD5C81"/>
    <w:rsid w:val="00FD5DC4"/>
    <w:rsid w:val="00FD62C7"/>
    <w:rsid w:val="00FD6473"/>
    <w:rsid w:val="00FD66D4"/>
    <w:rsid w:val="00FD6D99"/>
    <w:rsid w:val="00FE03DE"/>
    <w:rsid w:val="00FE08F7"/>
    <w:rsid w:val="00FE1F23"/>
    <w:rsid w:val="00FE3812"/>
    <w:rsid w:val="00FE615A"/>
    <w:rsid w:val="00FE656F"/>
    <w:rsid w:val="00FE7120"/>
    <w:rsid w:val="00FE77F3"/>
    <w:rsid w:val="00FF14E0"/>
    <w:rsid w:val="00FF1574"/>
    <w:rsid w:val="00FF3733"/>
    <w:rsid w:val="00FF4260"/>
    <w:rsid w:val="00FF4B38"/>
    <w:rsid w:val="00FF5E4D"/>
    <w:rsid w:val="00FF60A6"/>
    <w:rsid w:val="00FF68B2"/>
    <w:rsid w:val="00FF7606"/>
    <w:rsid w:val="00FF77A2"/>
    <w:rsid w:val="00FF7C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27688"/>
    <w:pPr>
      <w:widowControl w:val="0"/>
      <w:jc w:val="both"/>
    </w:pPr>
    <w:rPr>
      <w:kern w:val="2"/>
      <w:sz w:val="21"/>
      <w:szCs w:val="24"/>
    </w:rPr>
  </w:style>
  <w:style w:type="paragraph" w:styleId="1">
    <w:name w:val="heading 1"/>
    <w:basedOn w:val="a0"/>
    <w:next w:val="a0"/>
    <w:qFormat/>
    <w:rsid w:val="00827688"/>
    <w:pPr>
      <w:keepNext/>
      <w:keepLines/>
      <w:spacing w:before="340" w:after="330" w:line="578" w:lineRule="auto"/>
      <w:outlineLvl w:val="0"/>
    </w:pPr>
    <w:rPr>
      <w:b/>
      <w:bCs/>
      <w:kern w:val="44"/>
      <w:sz w:val="44"/>
      <w:szCs w:val="44"/>
    </w:rPr>
  </w:style>
  <w:style w:type="paragraph" w:styleId="2">
    <w:name w:val="heading 2"/>
    <w:basedOn w:val="a0"/>
    <w:next w:val="a0"/>
    <w:qFormat/>
    <w:rsid w:val="00827688"/>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semiHidden/>
    <w:unhideWhenUsed/>
    <w:qFormat/>
    <w:rsid w:val="004A04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rsid w:val="00827688"/>
    <w:pPr>
      <w:tabs>
        <w:tab w:val="center" w:pos="4153"/>
        <w:tab w:val="right" w:pos="8306"/>
      </w:tabs>
      <w:snapToGrid w:val="0"/>
      <w:jc w:val="center"/>
    </w:pPr>
    <w:rPr>
      <w:sz w:val="18"/>
      <w:szCs w:val="18"/>
    </w:rPr>
  </w:style>
  <w:style w:type="paragraph" w:styleId="a5">
    <w:name w:val="footer"/>
    <w:basedOn w:val="a0"/>
    <w:link w:val="Char0"/>
    <w:uiPriority w:val="99"/>
    <w:rsid w:val="00827688"/>
    <w:pPr>
      <w:tabs>
        <w:tab w:val="center" w:pos="4153"/>
        <w:tab w:val="right" w:pos="8306"/>
      </w:tabs>
      <w:snapToGrid w:val="0"/>
      <w:jc w:val="left"/>
    </w:pPr>
    <w:rPr>
      <w:sz w:val="18"/>
      <w:szCs w:val="18"/>
    </w:rPr>
  </w:style>
  <w:style w:type="paragraph" w:customStyle="1" w:styleId="a6">
    <w:name w:val="内正文"/>
    <w:basedOn w:val="a0"/>
    <w:rsid w:val="00827688"/>
    <w:pPr>
      <w:spacing w:after="156" w:line="360" w:lineRule="exact"/>
      <w:ind w:left="2835"/>
    </w:pPr>
    <w:rPr>
      <w:rFonts w:ascii="宋体" w:hAnsi="宋体"/>
      <w:szCs w:val="21"/>
    </w:rPr>
  </w:style>
  <w:style w:type="character" w:styleId="a7">
    <w:name w:val="page number"/>
    <w:basedOn w:val="a1"/>
    <w:rsid w:val="00827688"/>
  </w:style>
  <w:style w:type="paragraph" w:styleId="a8">
    <w:name w:val="Plain Text"/>
    <w:basedOn w:val="a0"/>
    <w:link w:val="Char1"/>
    <w:uiPriority w:val="99"/>
    <w:unhideWhenUsed/>
    <w:rsid w:val="00827688"/>
    <w:rPr>
      <w:rFonts w:ascii="宋体" w:hAnsi="Courier New" w:cs="Courier New"/>
      <w:szCs w:val="21"/>
    </w:rPr>
  </w:style>
  <w:style w:type="character" w:customStyle="1" w:styleId="Char1">
    <w:name w:val="纯文本 Char"/>
    <w:basedOn w:val="a1"/>
    <w:link w:val="a8"/>
    <w:uiPriority w:val="99"/>
    <w:rsid w:val="00827688"/>
    <w:rPr>
      <w:rFonts w:ascii="宋体" w:eastAsia="宋体" w:hAnsi="Courier New" w:cs="Courier New"/>
      <w:kern w:val="2"/>
      <w:sz w:val="21"/>
      <w:szCs w:val="21"/>
      <w:lang w:val="en-US" w:eastAsia="zh-CN" w:bidi="ar-SA"/>
    </w:rPr>
  </w:style>
  <w:style w:type="table" w:customStyle="1" w:styleId="10">
    <w:name w:val="浅色底纹1"/>
    <w:basedOn w:val="a2"/>
    <w:uiPriority w:val="60"/>
    <w:rsid w:val="00AF7CB1"/>
    <w:rPr>
      <w:rFonts w:ascii="Calibri" w:hAnsi="Calibri"/>
      <w:color w:val="000000"/>
    </w:rPr>
    <w:tblPr>
      <w:tblStyleRowBandSize w:val="1"/>
      <w:tblStyleColBandSize w:val="1"/>
      <w:tblInd w:w="0" w:type="dxa"/>
      <w:tblBorders>
        <w:top w:val="single" w:sz="8" w:space="0" w:color="FF0000"/>
        <w:bottom w:val="single" w:sz="8" w:space="0" w:color="FF0000"/>
      </w:tblBorders>
      <w:tblCellMar>
        <w:top w:w="0" w:type="dxa"/>
        <w:left w:w="108" w:type="dxa"/>
        <w:bottom w:w="0" w:type="dxa"/>
        <w:right w:w="108" w:type="dxa"/>
      </w:tblCellMar>
    </w:tblPr>
    <w:tblStylePr w:type="firstRow">
      <w:pPr>
        <w:spacing w:before="0" w:after="0" w:line="240" w:lineRule="auto"/>
      </w:pPr>
      <w:rPr>
        <w:b w:val="0"/>
        <w:bCs/>
      </w:rPr>
      <w:tblPr/>
      <w:tcPr>
        <w:tcBorders>
          <w:top w:val="single" w:sz="8" w:space="0" w:color="FF0000"/>
          <w:left w:val="nil"/>
          <w:bottom w:val="single" w:sz="8" w:space="0" w:color="FF0000"/>
          <w:right w:val="nil"/>
          <w:insideH w:val="nil"/>
          <w:insideV w:val="nil"/>
        </w:tcBorders>
      </w:tcPr>
    </w:tblStylePr>
    <w:tblStylePr w:type="lastRow">
      <w:pPr>
        <w:spacing w:before="0" w:after="0" w:line="240" w:lineRule="auto"/>
      </w:pPr>
      <w:rPr>
        <w:b w:val="0"/>
        <w:bCs/>
      </w:rPr>
      <w:tblPr/>
      <w:tcPr>
        <w:tcBorders>
          <w:top w:val="single" w:sz="8" w:space="0" w:color="FF0000"/>
          <w:left w:val="nil"/>
          <w:bottom w:val="single" w:sz="8" w:space="0" w:color="FF0000"/>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
    <w:name w:val="页眉 Char"/>
    <w:basedOn w:val="a1"/>
    <w:link w:val="a4"/>
    <w:uiPriority w:val="99"/>
    <w:rsid w:val="00AF7CB1"/>
    <w:rPr>
      <w:kern w:val="2"/>
      <w:sz w:val="18"/>
      <w:szCs w:val="18"/>
    </w:rPr>
  </w:style>
  <w:style w:type="character" w:customStyle="1" w:styleId="Char0">
    <w:name w:val="页脚 Char"/>
    <w:basedOn w:val="a1"/>
    <w:link w:val="a5"/>
    <w:uiPriority w:val="99"/>
    <w:rsid w:val="00AF7CB1"/>
    <w:rPr>
      <w:kern w:val="2"/>
      <w:sz w:val="18"/>
      <w:szCs w:val="18"/>
    </w:rPr>
  </w:style>
  <w:style w:type="paragraph" w:styleId="a9">
    <w:name w:val="Balloon Text"/>
    <w:basedOn w:val="a0"/>
    <w:link w:val="Char2"/>
    <w:uiPriority w:val="99"/>
    <w:unhideWhenUsed/>
    <w:rsid w:val="00AF7CB1"/>
    <w:rPr>
      <w:rFonts w:ascii="Calibri" w:hAnsi="Calibri"/>
      <w:sz w:val="18"/>
      <w:szCs w:val="18"/>
    </w:rPr>
  </w:style>
  <w:style w:type="character" w:customStyle="1" w:styleId="Char2">
    <w:name w:val="批注框文本 Char"/>
    <w:basedOn w:val="a1"/>
    <w:link w:val="a9"/>
    <w:uiPriority w:val="99"/>
    <w:rsid w:val="00AF7CB1"/>
    <w:rPr>
      <w:rFonts w:ascii="Calibri" w:hAnsi="Calibri"/>
      <w:kern w:val="2"/>
      <w:sz w:val="18"/>
      <w:szCs w:val="18"/>
    </w:rPr>
  </w:style>
  <w:style w:type="paragraph" w:customStyle="1" w:styleId="ParaChar">
    <w:name w:val="默认段落字体 Para Char"/>
    <w:basedOn w:val="a0"/>
    <w:autoRedefine/>
    <w:rsid w:val="004E62DA"/>
    <w:pPr>
      <w:numPr>
        <w:numId w:val="3"/>
      </w:numPr>
    </w:pPr>
    <w:rPr>
      <w:sz w:val="24"/>
    </w:rPr>
  </w:style>
  <w:style w:type="character" w:customStyle="1" w:styleId="apple-style-span">
    <w:name w:val="apple-style-span"/>
    <w:basedOn w:val="a1"/>
    <w:rsid w:val="00EE4DBE"/>
  </w:style>
  <w:style w:type="paragraph" w:styleId="aa">
    <w:name w:val="footnote text"/>
    <w:basedOn w:val="a0"/>
    <w:semiHidden/>
    <w:rsid w:val="00621E8A"/>
    <w:pPr>
      <w:snapToGrid w:val="0"/>
      <w:jc w:val="left"/>
    </w:pPr>
    <w:rPr>
      <w:sz w:val="18"/>
      <w:szCs w:val="18"/>
    </w:rPr>
  </w:style>
  <w:style w:type="character" w:styleId="ab">
    <w:name w:val="footnote reference"/>
    <w:basedOn w:val="a1"/>
    <w:semiHidden/>
    <w:rsid w:val="00621E8A"/>
    <w:rPr>
      <w:vertAlign w:val="superscript"/>
    </w:rPr>
  </w:style>
  <w:style w:type="paragraph" w:customStyle="1" w:styleId="a">
    <w:name w:val="封面正文"/>
    <w:basedOn w:val="a0"/>
    <w:rsid w:val="00C8243E"/>
    <w:pPr>
      <w:numPr>
        <w:numId w:val="5"/>
      </w:numPr>
      <w:spacing w:afterLines="50" w:line="300" w:lineRule="exact"/>
    </w:pPr>
    <w:rPr>
      <w:rFonts w:ascii="Arial" w:eastAsia="黑体" w:hAnsi="Arial"/>
      <w:b/>
      <w:sz w:val="18"/>
      <w:szCs w:val="21"/>
    </w:rPr>
  </w:style>
  <w:style w:type="character" w:styleId="ac">
    <w:name w:val="Hyperlink"/>
    <w:basedOn w:val="a1"/>
    <w:rsid w:val="00693B26"/>
    <w:rPr>
      <w:color w:val="0000FF"/>
      <w:u w:val="single"/>
    </w:rPr>
  </w:style>
  <w:style w:type="paragraph" w:styleId="ad">
    <w:name w:val="Date"/>
    <w:basedOn w:val="a0"/>
    <w:next w:val="a0"/>
    <w:link w:val="Char3"/>
    <w:rsid w:val="00F07319"/>
    <w:pPr>
      <w:ind w:leftChars="2500" w:left="100"/>
    </w:pPr>
  </w:style>
  <w:style w:type="character" w:customStyle="1" w:styleId="Char3">
    <w:name w:val="日期 Char"/>
    <w:basedOn w:val="a1"/>
    <w:link w:val="ad"/>
    <w:rsid w:val="00F07319"/>
    <w:rPr>
      <w:kern w:val="2"/>
      <w:sz w:val="21"/>
      <w:szCs w:val="24"/>
    </w:rPr>
  </w:style>
  <w:style w:type="character" w:customStyle="1" w:styleId="apple-converted-space">
    <w:name w:val="apple-converted-space"/>
    <w:basedOn w:val="a1"/>
    <w:rsid w:val="00910D98"/>
  </w:style>
  <w:style w:type="character" w:styleId="ae">
    <w:name w:val="Strong"/>
    <w:basedOn w:val="a1"/>
    <w:uiPriority w:val="22"/>
    <w:qFormat/>
    <w:rsid w:val="00634137"/>
    <w:rPr>
      <w:b/>
      <w:bCs/>
    </w:rPr>
  </w:style>
  <w:style w:type="character" w:styleId="af">
    <w:name w:val="Emphasis"/>
    <w:basedOn w:val="a1"/>
    <w:uiPriority w:val="20"/>
    <w:qFormat/>
    <w:rsid w:val="00AD3FFC"/>
    <w:rPr>
      <w:i/>
      <w:iCs/>
    </w:rPr>
  </w:style>
  <w:style w:type="character" w:customStyle="1" w:styleId="3Char">
    <w:name w:val="标题 3 Char"/>
    <w:basedOn w:val="a1"/>
    <w:link w:val="3"/>
    <w:semiHidden/>
    <w:rsid w:val="004A04AC"/>
    <w:rPr>
      <w:b/>
      <w:bCs/>
      <w:kern w:val="2"/>
      <w:sz w:val="32"/>
      <w:szCs w:val="32"/>
    </w:rPr>
  </w:style>
  <w:style w:type="character" w:customStyle="1" w:styleId="fsheadcode1">
    <w:name w:val="fs_head_code1"/>
    <w:basedOn w:val="a1"/>
    <w:rsid w:val="003F3857"/>
  </w:style>
  <w:style w:type="paragraph" w:styleId="af0">
    <w:name w:val="List Paragraph"/>
    <w:basedOn w:val="a0"/>
    <w:uiPriority w:val="34"/>
    <w:qFormat/>
    <w:rsid w:val="008462A9"/>
    <w:pPr>
      <w:ind w:firstLineChars="200" w:firstLine="420"/>
    </w:pPr>
  </w:style>
</w:styles>
</file>

<file path=word/webSettings.xml><?xml version="1.0" encoding="utf-8"?>
<w:webSettings xmlns:r="http://schemas.openxmlformats.org/officeDocument/2006/relationships" xmlns:w="http://schemas.openxmlformats.org/wordprocessingml/2006/main">
  <w:divs>
    <w:div w:id="13894849">
      <w:bodyDiv w:val="1"/>
      <w:marLeft w:val="0"/>
      <w:marRight w:val="0"/>
      <w:marTop w:val="0"/>
      <w:marBottom w:val="0"/>
      <w:divBdr>
        <w:top w:val="none" w:sz="0" w:space="0" w:color="auto"/>
        <w:left w:val="none" w:sz="0" w:space="0" w:color="auto"/>
        <w:bottom w:val="none" w:sz="0" w:space="0" w:color="auto"/>
        <w:right w:val="none" w:sz="0" w:space="0" w:color="auto"/>
      </w:divBdr>
    </w:div>
    <w:div w:id="16274955">
      <w:bodyDiv w:val="1"/>
      <w:marLeft w:val="0"/>
      <w:marRight w:val="0"/>
      <w:marTop w:val="0"/>
      <w:marBottom w:val="0"/>
      <w:divBdr>
        <w:top w:val="none" w:sz="0" w:space="0" w:color="auto"/>
        <w:left w:val="none" w:sz="0" w:space="0" w:color="auto"/>
        <w:bottom w:val="none" w:sz="0" w:space="0" w:color="auto"/>
        <w:right w:val="none" w:sz="0" w:space="0" w:color="auto"/>
      </w:divBdr>
    </w:div>
    <w:div w:id="23411701">
      <w:bodyDiv w:val="1"/>
      <w:marLeft w:val="0"/>
      <w:marRight w:val="0"/>
      <w:marTop w:val="0"/>
      <w:marBottom w:val="0"/>
      <w:divBdr>
        <w:top w:val="none" w:sz="0" w:space="0" w:color="auto"/>
        <w:left w:val="none" w:sz="0" w:space="0" w:color="auto"/>
        <w:bottom w:val="none" w:sz="0" w:space="0" w:color="auto"/>
        <w:right w:val="none" w:sz="0" w:space="0" w:color="auto"/>
      </w:divBdr>
    </w:div>
    <w:div w:id="25525489">
      <w:bodyDiv w:val="1"/>
      <w:marLeft w:val="0"/>
      <w:marRight w:val="0"/>
      <w:marTop w:val="0"/>
      <w:marBottom w:val="0"/>
      <w:divBdr>
        <w:top w:val="none" w:sz="0" w:space="0" w:color="auto"/>
        <w:left w:val="none" w:sz="0" w:space="0" w:color="auto"/>
        <w:bottom w:val="none" w:sz="0" w:space="0" w:color="auto"/>
        <w:right w:val="none" w:sz="0" w:space="0" w:color="auto"/>
      </w:divBdr>
    </w:div>
    <w:div w:id="70586549">
      <w:bodyDiv w:val="1"/>
      <w:marLeft w:val="0"/>
      <w:marRight w:val="0"/>
      <w:marTop w:val="0"/>
      <w:marBottom w:val="0"/>
      <w:divBdr>
        <w:top w:val="none" w:sz="0" w:space="0" w:color="auto"/>
        <w:left w:val="none" w:sz="0" w:space="0" w:color="auto"/>
        <w:bottom w:val="none" w:sz="0" w:space="0" w:color="auto"/>
        <w:right w:val="none" w:sz="0" w:space="0" w:color="auto"/>
      </w:divBdr>
    </w:div>
    <w:div w:id="78066704">
      <w:bodyDiv w:val="1"/>
      <w:marLeft w:val="0"/>
      <w:marRight w:val="0"/>
      <w:marTop w:val="0"/>
      <w:marBottom w:val="0"/>
      <w:divBdr>
        <w:top w:val="none" w:sz="0" w:space="0" w:color="auto"/>
        <w:left w:val="none" w:sz="0" w:space="0" w:color="auto"/>
        <w:bottom w:val="none" w:sz="0" w:space="0" w:color="auto"/>
        <w:right w:val="none" w:sz="0" w:space="0" w:color="auto"/>
      </w:divBdr>
      <w:divsChild>
        <w:div w:id="1650983346">
          <w:marLeft w:val="0"/>
          <w:marRight w:val="0"/>
          <w:marTop w:val="0"/>
          <w:marBottom w:val="0"/>
          <w:divBdr>
            <w:top w:val="none" w:sz="0" w:space="0" w:color="auto"/>
            <w:left w:val="none" w:sz="0" w:space="0" w:color="auto"/>
            <w:bottom w:val="none" w:sz="0" w:space="0" w:color="auto"/>
            <w:right w:val="none" w:sz="0" w:space="0" w:color="auto"/>
          </w:divBdr>
        </w:div>
      </w:divsChild>
    </w:div>
    <w:div w:id="121115112">
      <w:bodyDiv w:val="1"/>
      <w:marLeft w:val="0"/>
      <w:marRight w:val="0"/>
      <w:marTop w:val="0"/>
      <w:marBottom w:val="0"/>
      <w:divBdr>
        <w:top w:val="none" w:sz="0" w:space="0" w:color="auto"/>
        <w:left w:val="none" w:sz="0" w:space="0" w:color="auto"/>
        <w:bottom w:val="none" w:sz="0" w:space="0" w:color="auto"/>
        <w:right w:val="none" w:sz="0" w:space="0" w:color="auto"/>
      </w:divBdr>
    </w:div>
    <w:div w:id="145586903">
      <w:bodyDiv w:val="1"/>
      <w:marLeft w:val="0"/>
      <w:marRight w:val="0"/>
      <w:marTop w:val="0"/>
      <w:marBottom w:val="0"/>
      <w:divBdr>
        <w:top w:val="none" w:sz="0" w:space="0" w:color="auto"/>
        <w:left w:val="none" w:sz="0" w:space="0" w:color="auto"/>
        <w:bottom w:val="none" w:sz="0" w:space="0" w:color="auto"/>
        <w:right w:val="none" w:sz="0" w:space="0" w:color="auto"/>
      </w:divBdr>
    </w:div>
    <w:div w:id="147330219">
      <w:bodyDiv w:val="1"/>
      <w:marLeft w:val="0"/>
      <w:marRight w:val="0"/>
      <w:marTop w:val="0"/>
      <w:marBottom w:val="0"/>
      <w:divBdr>
        <w:top w:val="none" w:sz="0" w:space="0" w:color="auto"/>
        <w:left w:val="none" w:sz="0" w:space="0" w:color="auto"/>
        <w:bottom w:val="none" w:sz="0" w:space="0" w:color="auto"/>
        <w:right w:val="none" w:sz="0" w:space="0" w:color="auto"/>
      </w:divBdr>
    </w:div>
    <w:div w:id="163591332">
      <w:bodyDiv w:val="1"/>
      <w:marLeft w:val="0"/>
      <w:marRight w:val="0"/>
      <w:marTop w:val="0"/>
      <w:marBottom w:val="0"/>
      <w:divBdr>
        <w:top w:val="none" w:sz="0" w:space="0" w:color="auto"/>
        <w:left w:val="none" w:sz="0" w:space="0" w:color="auto"/>
        <w:bottom w:val="none" w:sz="0" w:space="0" w:color="auto"/>
        <w:right w:val="none" w:sz="0" w:space="0" w:color="auto"/>
      </w:divBdr>
    </w:div>
    <w:div w:id="168259160">
      <w:bodyDiv w:val="1"/>
      <w:marLeft w:val="0"/>
      <w:marRight w:val="0"/>
      <w:marTop w:val="0"/>
      <w:marBottom w:val="0"/>
      <w:divBdr>
        <w:top w:val="none" w:sz="0" w:space="0" w:color="auto"/>
        <w:left w:val="none" w:sz="0" w:space="0" w:color="auto"/>
        <w:bottom w:val="none" w:sz="0" w:space="0" w:color="auto"/>
        <w:right w:val="none" w:sz="0" w:space="0" w:color="auto"/>
      </w:divBdr>
    </w:div>
    <w:div w:id="171725926">
      <w:bodyDiv w:val="1"/>
      <w:marLeft w:val="0"/>
      <w:marRight w:val="0"/>
      <w:marTop w:val="0"/>
      <w:marBottom w:val="0"/>
      <w:divBdr>
        <w:top w:val="none" w:sz="0" w:space="0" w:color="auto"/>
        <w:left w:val="none" w:sz="0" w:space="0" w:color="auto"/>
        <w:bottom w:val="none" w:sz="0" w:space="0" w:color="auto"/>
        <w:right w:val="none" w:sz="0" w:space="0" w:color="auto"/>
      </w:divBdr>
    </w:div>
    <w:div w:id="219488527">
      <w:bodyDiv w:val="1"/>
      <w:marLeft w:val="0"/>
      <w:marRight w:val="0"/>
      <w:marTop w:val="0"/>
      <w:marBottom w:val="0"/>
      <w:divBdr>
        <w:top w:val="none" w:sz="0" w:space="0" w:color="auto"/>
        <w:left w:val="none" w:sz="0" w:space="0" w:color="auto"/>
        <w:bottom w:val="none" w:sz="0" w:space="0" w:color="auto"/>
        <w:right w:val="none" w:sz="0" w:space="0" w:color="auto"/>
      </w:divBdr>
    </w:div>
    <w:div w:id="237251031">
      <w:bodyDiv w:val="1"/>
      <w:marLeft w:val="0"/>
      <w:marRight w:val="0"/>
      <w:marTop w:val="0"/>
      <w:marBottom w:val="0"/>
      <w:divBdr>
        <w:top w:val="none" w:sz="0" w:space="0" w:color="auto"/>
        <w:left w:val="none" w:sz="0" w:space="0" w:color="auto"/>
        <w:bottom w:val="none" w:sz="0" w:space="0" w:color="auto"/>
        <w:right w:val="none" w:sz="0" w:space="0" w:color="auto"/>
      </w:divBdr>
    </w:div>
    <w:div w:id="238297977">
      <w:bodyDiv w:val="1"/>
      <w:marLeft w:val="0"/>
      <w:marRight w:val="0"/>
      <w:marTop w:val="0"/>
      <w:marBottom w:val="0"/>
      <w:divBdr>
        <w:top w:val="none" w:sz="0" w:space="0" w:color="auto"/>
        <w:left w:val="none" w:sz="0" w:space="0" w:color="auto"/>
        <w:bottom w:val="none" w:sz="0" w:space="0" w:color="auto"/>
        <w:right w:val="none" w:sz="0" w:space="0" w:color="auto"/>
      </w:divBdr>
    </w:div>
    <w:div w:id="245186467">
      <w:bodyDiv w:val="1"/>
      <w:marLeft w:val="0"/>
      <w:marRight w:val="0"/>
      <w:marTop w:val="0"/>
      <w:marBottom w:val="0"/>
      <w:divBdr>
        <w:top w:val="none" w:sz="0" w:space="0" w:color="auto"/>
        <w:left w:val="none" w:sz="0" w:space="0" w:color="auto"/>
        <w:bottom w:val="none" w:sz="0" w:space="0" w:color="auto"/>
        <w:right w:val="none" w:sz="0" w:space="0" w:color="auto"/>
      </w:divBdr>
    </w:div>
    <w:div w:id="280916154">
      <w:bodyDiv w:val="1"/>
      <w:marLeft w:val="0"/>
      <w:marRight w:val="0"/>
      <w:marTop w:val="0"/>
      <w:marBottom w:val="0"/>
      <w:divBdr>
        <w:top w:val="none" w:sz="0" w:space="0" w:color="auto"/>
        <w:left w:val="none" w:sz="0" w:space="0" w:color="auto"/>
        <w:bottom w:val="none" w:sz="0" w:space="0" w:color="auto"/>
        <w:right w:val="none" w:sz="0" w:space="0" w:color="auto"/>
      </w:divBdr>
    </w:div>
    <w:div w:id="328486541">
      <w:bodyDiv w:val="1"/>
      <w:marLeft w:val="0"/>
      <w:marRight w:val="0"/>
      <w:marTop w:val="0"/>
      <w:marBottom w:val="0"/>
      <w:divBdr>
        <w:top w:val="none" w:sz="0" w:space="0" w:color="auto"/>
        <w:left w:val="none" w:sz="0" w:space="0" w:color="auto"/>
        <w:bottom w:val="none" w:sz="0" w:space="0" w:color="auto"/>
        <w:right w:val="none" w:sz="0" w:space="0" w:color="auto"/>
      </w:divBdr>
    </w:div>
    <w:div w:id="374744327">
      <w:bodyDiv w:val="1"/>
      <w:marLeft w:val="0"/>
      <w:marRight w:val="0"/>
      <w:marTop w:val="0"/>
      <w:marBottom w:val="0"/>
      <w:divBdr>
        <w:top w:val="none" w:sz="0" w:space="0" w:color="auto"/>
        <w:left w:val="none" w:sz="0" w:space="0" w:color="auto"/>
        <w:bottom w:val="none" w:sz="0" w:space="0" w:color="auto"/>
        <w:right w:val="none" w:sz="0" w:space="0" w:color="auto"/>
      </w:divBdr>
    </w:div>
    <w:div w:id="378744110">
      <w:bodyDiv w:val="1"/>
      <w:marLeft w:val="0"/>
      <w:marRight w:val="0"/>
      <w:marTop w:val="0"/>
      <w:marBottom w:val="0"/>
      <w:divBdr>
        <w:top w:val="none" w:sz="0" w:space="0" w:color="auto"/>
        <w:left w:val="none" w:sz="0" w:space="0" w:color="auto"/>
        <w:bottom w:val="none" w:sz="0" w:space="0" w:color="auto"/>
        <w:right w:val="none" w:sz="0" w:space="0" w:color="auto"/>
      </w:divBdr>
    </w:div>
    <w:div w:id="411046400">
      <w:bodyDiv w:val="1"/>
      <w:marLeft w:val="0"/>
      <w:marRight w:val="0"/>
      <w:marTop w:val="0"/>
      <w:marBottom w:val="0"/>
      <w:divBdr>
        <w:top w:val="none" w:sz="0" w:space="0" w:color="auto"/>
        <w:left w:val="none" w:sz="0" w:space="0" w:color="auto"/>
        <w:bottom w:val="none" w:sz="0" w:space="0" w:color="auto"/>
        <w:right w:val="none" w:sz="0" w:space="0" w:color="auto"/>
      </w:divBdr>
    </w:div>
    <w:div w:id="440419783">
      <w:bodyDiv w:val="1"/>
      <w:marLeft w:val="0"/>
      <w:marRight w:val="0"/>
      <w:marTop w:val="0"/>
      <w:marBottom w:val="0"/>
      <w:divBdr>
        <w:top w:val="none" w:sz="0" w:space="0" w:color="auto"/>
        <w:left w:val="none" w:sz="0" w:space="0" w:color="auto"/>
        <w:bottom w:val="none" w:sz="0" w:space="0" w:color="auto"/>
        <w:right w:val="none" w:sz="0" w:space="0" w:color="auto"/>
      </w:divBdr>
    </w:div>
    <w:div w:id="463086346">
      <w:bodyDiv w:val="1"/>
      <w:marLeft w:val="0"/>
      <w:marRight w:val="0"/>
      <w:marTop w:val="0"/>
      <w:marBottom w:val="0"/>
      <w:divBdr>
        <w:top w:val="none" w:sz="0" w:space="0" w:color="auto"/>
        <w:left w:val="none" w:sz="0" w:space="0" w:color="auto"/>
        <w:bottom w:val="none" w:sz="0" w:space="0" w:color="auto"/>
        <w:right w:val="none" w:sz="0" w:space="0" w:color="auto"/>
      </w:divBdr>
    </w:div>
    <w:div w:id="468010503">
      <w:bodyDiv w:val="1"/>
      <w:marLeft w:val="0"/>
      <w:marRight w:val="0"/>
      <w:marTop w:val="0"/>
      <w:marBottom w:val="0"/>
      <w:divBdr>
        <w:top w:val="none" w:sz="0" w:space="0" w:color="auto"/>
        <w:left w:val="none" w:sz="0" w:space="0" w:color="auto"/>
        <w:bottom w:val="none" w:sz="0" w:space="0" w:color="auto"/>
        <w:right w:val="none" w:sz="0" w:space="0" w:color="auto"/>
      </w:divBdr>
    </w:div>
    <w:div w:id="479998479">
      <w:bodyDiv w:val="1"/>
      <w:marLeft w:val="0"/>
      <w:marRight w:val="0"/>
      <w:marTop w:val="0"/>
      <w:marBottom w:val="0"/>
      <w:divBdr>
        <w:top w:val="none" w:sz="0" w:space="0" w:color="auto"/>
        <w:left w:val="none" w:sz="0" w:space="0" w:color="auto"/>
        <w:bottom w:val="none" w:sz="0" w:space="0" w:color="auto"/>
        <w:right w:val="none" w:sz="0" w:space="0" w:color="auto"/>
      </w:divBdr>
    </w:div>
    <w:div w:id="493035639">
      <w:bodyDiv w:val="1"/>
      <w:marLeft w:val="0"/>
      <w:marRight w:val="0"/>
      <w:marTop w:val="0"/>
      <w:marBottom w:val="0"/>
      <w:divBdr>
        <w:top w:val="none" w:sz="0" w:space="0" w:color="auto"/>
        <w:left w:val="none" w:sz="0" w:space="0" w:color="auto"/>
        <w:bottom w:val="none" w:sz="0" w:space="0" w:color="auto"/>
        <w:right w:val="none" w:sz="0" w:space="0" w:color="auto"/>
      </w:divBdr>
    </w:div>
    <w:div w:id="518350410">
      <w:bodyDiv w:val="1"/>
      <w:marLeft w:val="0"/>
      <w:marRight w:val="0"/>
      <w:marTop w:val="0"/>
      <w:marBottom w:val="0"/>
      <w:divBdr>
        <w:top w:val="none" w:sz="0" w:space="0" w:color="auto"/>
        <w:left w:val="none" w:sz="0" w:space="0" w:color="auto"/>
        <w:bottom w:val="none" w:sz="0" w:space="0" w:color="auto"/>
        <w:right w:val="none" w:sz="0" w:space="0" w:color="auto"/>
      </w:divBdr>
    </w:div>
    <w:div w:id="524904679">
      <w:bodyDiv w:val="1"/>
      <w:marLeft w:val="0"/>
      <w:marRight w:val="0"/>
      <w:marTop w:val="0"/>
      <w:marBottom w:val="0"/>
      <w:divBdr>
        <w:top w:val="none" w:sz="0" w:space="0" w:color="auto"/>
        <w:left w:val="none" w:sz="0" w:space="0" w:color="auto"/>
        <w:bottom w:val="none" w:sz="0" w:space="0" w:color="auto"/>
        <w:right w:val="none" w:sz="0" w:space="0" w:color="auto"/>
      </w:divBdr>
    </w:div>
    <w:div w:id="535511357">
      <w:bodyDiv w:val="1"/>
      <w:marLeft w:val="0"/>
      <w:marRight w:val="0"/>
      <w:marTop w:val="0"/>
      <w:marBottom w:val="0"/>
      <w:divBdr>
        <w:top w:val="none" w:sz="0" w:space="0" w:color="auto"/>
        <w:left w:val="none" w:sz="0" w:space="0" w:color="auto"/>
        <w:bottom w:val="none" w:sz="0" w:space="0" w:color="auto"/>
        <w:right w:val="none" w:sz="0" w:space="0" w:color="auto"/>
      </w:divBdr>
    </w:div>
    <w:div w:id="550190915">
      <w:bodyDiv w:val="1"/>
      <w:marLeft w:val="0"/>
      <w:marRight w:val="0"/>
      <w:marTop w:val="0"/>
      <w:marBottom w:val="0"/>
      <w:divBdr>
        <w:top w:val="none" w:sz="0" w:space="0" w:color="auto"/>
        <w:left w:val="none" w:sz="0" w:space="0" w:color="auto"/>
        <w:bottom w:val="none" w:sz="0" w:space="0" w:color="auto"/>
        <w:right w:val="none" w:sz="0" w:space="0" w:color="auto"/>
      </w:divBdr>
    </w:div>
    <w:div w:id="572859132">
      <w:bodyDiv w:val="1"/>
      <w:marLeft w:val="0"/>
      <w:marRight w:val="0"/>
      <w:marTop w:val="0"/>
      <w:marBottom w:val="0"/>
      <w:divBdr>
        <w:top w:val="none" w:sz="0" w:space="0" w:color="auto"/>
        <w:left w:val="none" w:sz="0" w:space="0" w:color="auto"/>
        <w:bottom w:val="none" w:sz="0" w:space="0" w:color="auto"/>
        <w:right w:val="none" w:sz="0" w:space="0" w:color="auto"/>
      </w:divBdr>
    </w:div>
    <w:div w:id="574438259">
      <w:bodyDiv w:val="1"/>
      <w:marLeft w:val="0"/>
      <w:marRight w:val="0"/>
      <w:marTop w:val="0"/>
      <w:marBottom w:val="0"/>
      <w:divBdr>
        <w:top w:val="none" w:sz="0" w:space="0" w:color="auto"/>
        <w:left w:val="none" w:sz="0" w:space="0" w:color="auto"/>
        <w:bottom w:val="none" w:sz="0" w:space="0" w:color="auto"/>
        <w:right w:val="none" w:sz="0" w:space="0" w:color="auto"/>
      </w:divBdr>
    </w:div>
    <w:div w:id="585379890">
      <w:bodyDiv w:val="1"/>
      <w:marLeft w:val="0"/>
      <w:marRight w:val="0"/>
      <w:marTop w:val="0"/>
      <w:marBottom w:val="0"/>
      <w:divBdr>
        <w:top w:val="none" w:sz="0" w:space="0" w:color="auto"/>
        <w:left w:val="none" w:sz="0" w:space="0" w:color="auto"/>
        <w:bottom w:val="none" w:sz="0" w:space="0" w:color="auto"/>
        <w:right w:val="none" w:sz="0" w:space="0" w:color="auto"/>
      </w:divBdr>
    </w:div>
    <w:div w:id="603997062">
      <w:bodyDiv w:val="1"/>
      <w:marLeft w:val="0"/>
      <w:marRight w:val="0"/>
      <w:marTop w:val="0"/>
      <w:marBottom w:val="0"/>
      <w:divBdr>
        <w:top w:val="none" w:sz="0" w:space="0" w:color="auto"/>
        <w:left w:val="none" w:sz="0" w:space="0" w:color="auto"/>
        <w:bottom w:val="none" w:sz="0" w:space="0" w:color="auto"/>
        <w:right w:val="none" w:sz="0" w:space="0" w:color="auto"/>
      </w:divBdr>
    </w:div>
    <w:div w:id="638345314">
      <w:bodyDiv w:val="1"/>
      <w:marLeft w:val="0"/>
      <w:marRight w:val="0"/>
      <w:marTop w:val="0"/>
      <w:marBottom w:val="0"/>
      <w:divBdr>
        <w:top w:val="none" w:sz="0" w:space="0" w:color="auto"/>
        <w:left w:val="none" w:sz="0" w:space="0" w:color="auto"/>
        <w:bottom w:val="none" w:sz="0" w:space="0" w:color="auto"/>
        <w:right w:val="none" w:sz="0" w:space="0" w:color="auto"/>
      </w:divBdr>
    </w:div>
    <w:div w:id="667708193">
      <w:bodyDiv w:val="1"/>
      <w:marLeft w:val="0"/>
      <w:marRight w:val="0"/>
      <w:marTop w:val="0"/>
      <w:marBottom w:val="0"/>
      <w:divBdr>
        <w:top w:val="none" w:sz="0" w:space="0" w:color="auto"/>
        <w:left w:val="none" w:sz="0" w:space="0" w:color="auto"/>
        <w:bottom w:val="none" w:sz="0" w:space="0" w:color="auto"/>
        <w:right w:val="none" w:sz="0" w:space="0" w:color="auto"/>
      </w:divBdr>
    </w:div>
    <w:div w:id="698429567">
      <w:bodyDiv w:val="1"/>
      <w:marLeft w:val="0"/>
      <w:marRight w:val="0"/>
      <w:marTop w:val="0"/>
      <w:marBottom w:val="0"/>
      <w:divBdr>
        <w:top w:val="none" w:sz="0" w:space="0" w:color="auto"/>
        <w:left w:val="none" w:sz="0" w:space="0" w:color="auto"/>
        <w:bottom w:val="none" w:sz="0" w:space="0" w:color="auto"/>
        <w:right w:val="none" w:sz="0" w:space="0" w:color="auto"/>
      </w:divBdr>
    </w:div>
    <w:div w:id="704670132">
      <w:bodyDiv w:val="1"/>
      <w:marLeft w:val="0"/>
      <w:marRight w:val="0"/>
      <w:marTop w:val="0"/>
      <w:marBottom w:val="0"/>
      <w:divBdr>
        <w:top w:val="none" w:sz="0" w:space="0" w:color="auto"/>
        <w:left w:val="none" w:sz="0" w:space="0" w:color="auto"/>
        <w:bottom w:val="none" w:sz="0" w:space="0" w:color="auto"/>
        <w:right w:val="none" w:sz="0" w:space="0" w:color="auto"/>
      </w:divBdr>
    </w:div>
    <w:div w:id="808400455">
      <w:bodyDiv w:val="1"/>
      <w:marLeft w:val="0"/>
      <w:marRight w:val="0"/>
      <w:marTop w:val="0"/>
      <w:marBottom w:val="0"/>
      <w:divBdr>
        <w:top w:val="none" w:sz="0" w:space="0" w:color="auto"/>
        <w:left w:val="none" w:sz="0" w:space="0" w:color="auto"/>
        <w:bottom w:val="none" w:sz="0" w:space="0" w:color="auto"/>
        <w:right w:val="none" w:sz="0" w:space="0" w:color="auto"/>
      </w:divBdr>
    </w:div>
    <w:div w:id="848061686">
      <w:bodyDiv w:val="1"/>
      <w:marLeft w:val="0"/>
      <w:marRight w:val="0"/>
      <w:marTop w:val="0"/>
      <w:marBottom w:val="0"/>
      <w:divBdr>
        <w:top w:val="none" w:sz="0" w:space="0" w:color="auto"/>
        <w:left w:val="none" w:sz="0" w:space="0" w:color="auto"/>
        <w:bottom w:val="none" w:sz="0" w:space="0" w:color="auto"/>
        <w:right w:val="none" w:sz="0" w:space="0" w:color="auto"/>
      </w:divBdr>
    </w:div>
    <w:div w:id="892891338">
      <w:bodyDiv w:val="1"/>
      <w:marLeft w:val="0"/>
      <w:marRight w:val="0"/>
      <w:marTop w:val="0"/>
      <w:marBottom w:val="0"/>
      <w:divBdr>
        <w:top w:val="none" w:sz="0" w:space="0" w:color="auto"/>
        <w:left w:val="none" w:sz="0" w:space="0" w:color="auto"/>
        <w:bottom w:val="none" w:sz="0" w:space="0" w:color="auto"/>
        <w:right w:val="none" w:sz="0" w:space="0" w:color="auto"/>
      </w:divBdr>
    </w:div>
    <w:div w:id="903837507">
      <w:bodyDiv w:val="1"/>
      <w:marLeft w:val="0"/>
      <w:marRight w:val="0"/>
      <w:marTop w:val="0"/>
      <w:marBottom w:val="0"/>
      <w:divBdr>
        <w:top w:val="none" w:sz="0" w:space="0" w:color="auto"/>
        <w:left w:val="none" w:sz="0" w:space="0" w:color="auto"/>
        <w:bottom w:val="none" w:sz="0" w:space="0" w:color="auto"/>
        <w:right w:val="none" w:sz="0" w:space="0" w:color="auto"/>
      </w:divBdr>
    </w:div>
    <w:div w:id="917787237">
      <w:bodyDiv w:val="1"/>
      <w:marLeft w:val="0"/>
      <w:marRight w:val="0"/>
      <w:marTop w:val="0"/>
      <w:marBottom w:val="0"/>
      <w:divBdr>
        <w:top w:val="none" w:sz="0" w:space="0" w:color="auto"/>
        <w:left w:val="none" w:sz="0" w:space="0" w:color="auto"/>
        <w:bottom w:val="none" w:sz="0" w:space="0" w:color="auto"/>
        <w:right w:val="none" w:sz="0" w:space="0" w:color="auto"/>
      </w:divBdr>
    </w:div>
    <w:div w:id="959260481">
      <w:bodyDiv w:val="1"/>
      <w:marLeft w:val="0"/>
      <w:marRight w:val="0"/>
      <w:marTop w:val="0"/>
      <w:marBottom w:val="0"/>
      <w:divBdr>
        <w:top w:val="none" w:sz="0" w:space="0" w:color="auto"/>
        <w:left w:val="none" w:sz="0" w:space="0" w:color="auto"/>
        <w:bottom w:val="none" w:sz="0" w:space="0" w:color="auto"/>
        <w:right w:val="none" w:sz="0" w:space="0" w:color="auto"/>
      </w:divBdr>
    </w:div>
    <w:div w:id="967052388">
      <w:bodyDiv w:val="1"/>
      <w:marLeft w:val="0"/>
      <w:marRight w:val="0"/>
      <w:marTop w:val="0"/>
      <w:marBottom w:val="0"/>
      <w:divBdr>
        <w:top w:val="none" w:sz="0" w:space="0" w:color="auto"/>
        <w:left w:val="none" w:sz="0" w:space="0" w:color="auto"/>
        <w:bottom w:val="none" w:sz="0" w:space="0" w:color="auto"/>
        <w:right w:val="none" w:sz="0" w:space="0" w:color="auto"/>
      </w:divBdr>
    </w:div>
    <w:div w:id="993992065">
      <w:bodyDiv w:val="1"/>
      <w:marLeft w:val="0"/>
      <w:marRight w:val="0"/>
      <w:marTop w:val="0"/>
      <w:marBottom w:val="0"/>
      <w:divBdr>
        <w:top w:val="none" w:sz="0" w:space="0" w:color="auto"/>
        <w:left w:val="none" w:sz="0" w:space="0" w:color="auto"/>
        <w:bottom w:val="none" w:sz="0" w:space="0" w:color="auto"/>
        <w:right w:val="none" w:sz="0" w:space="0" w:color="auto"/>
      </w:divBdr>
    </w:div>
    <w:div w:id="1016274208">
      <w:bodyDiv w:val="1"/>
      <w:marLeft w:val="0"/>
      <w:marRight w:val="0"/>
      <w:marTop w:val="0"/>
      <w:marBottom w:val="0"/>
      <w:divBdr>
        <w:top w:val="none" w:sz="0" w:space="0" w:color="auto"/>
        <w:left w:val="none" w:sz="0" w:space="0" w:color="auto"/>
        <w:bottom w:val="none" w:sz="0" w:space="0" w:color="auto"/>
        <w:right w:val="none" w:sz="0" w:space="0" w:color="auto"/>
      </w:divBdr>
    </w:div>
    <w:div w:id="1021325216">
      <w:bodyDiv w:val="1"/>
      <w:marLeft w:val="0"/>
      <w:marRight w:val="0"/>
      <w:marTop w:val="0"/>
      <w:marBottom w:val="0"/>
      <w:divBdr>
        <w:top w:val="none" w:sz="0" w:space="0" w:color="auto"/>
        <w:left w:val="none" w:sz="0" w:space="0" w:color="auto"/>
        <w:bottom w:val="none" w:sz="0" w:space="0" w:color="auto"/>
        <w:right w:val="none" w:sz="0" w:space="0" w:color="auto"/>
      </w:divBdr>
    </w:div>
    <w:div w:id="1046176771">
      <w:bodyDiv w:val="1"/>
      <w:marLeft w:val="0"/>
      <w:marRight w:val="0"/>
      <w:marTop w:val="0"/>
      <w:marBottom w:val="0"/>
      <w:divBdr>
        <w:top w:val="none" w:sz="0" w:space="0" w:color="auto"/>
        <w:left w:val="none" w:sz="0" w:space="0" w:color="auto"/>
        <w:bottom w:val="none" w:sz="0" w:space="0" w:color="auto"/>
        <w:right w:val="none" w:sz="0" w:space="0" w:color="auto"/>
      </w:divBdr>
    </w:div>
    <w:div w:id="1046225173">
      <w:bodyDiv w:val="1"/>
      <w:marLeft w:val="0"/>
      <w:marRight w:val="0"/>
      <w:marTop w:val="0"/>
      <w:marBottom w:val="0"/>
      <w:divBdr>
        <w:top w:val="none" w:sz="0" w:space="0" w:color="auto"/>
        <w:left w:val="none" w:sz="0" w:space="0" w:color="auto"/>
        <w:bottom w:val="none" w:sz="0" w:space="0" w:color="auto"/>
        <w:right w:val="none" w:sz="0" w:space="0" w:color="auto"/>
      </w:divBdr>
    </w:div>
    <w:div w:id="1054351425">
      <w:bodyDiv w:val="1"/>
      <w:marLeft w:val="0"/>
      <w:marRight w:val="0"/>
      <w:marTop w:val="0"/>
      <w:marBottom w:val="0"/>
      <w:divBdr>
        <w:top w:val="none" w:sz="0" w:space="0" w:color="auto"/>
        <w:left w:val="none" w:sz="0" w:space="0" w:color="auto"/>
        <w:bottom w:val="none" w:sz="0" w:space="0" w:color="auto"/>
        <w:right w:val="none" w:sz="0" w:space="0" w:color="auto"/>
      </w:divBdr>
    </w:div>
    <w:div w:id="1075663429">
      <w:bodyDiv w:val="1"/>
      <w:marLeft w:val="0"/>
      <w:marRight w:val="0"/>
      <w:marTop w:val="0"/>
      <w:marBottom w:val="0"/>
      <w:divBdr>
        <w:top w:val="none" w:sz="0" w:space="0" w:color="auto"/>
        <w:left w:val="none" w:sz="0" w:space="0" w:color="auto"/>
        <w:bottom w:val="none" w:sz="0" w:space="0" w:color="auto"/>
        <w:right w:val="none" w:sz="0" w:space="0" w:color="auto"/>
      </w:divBdr>
    </w:div>
    <w:div w:id="1087775832">
      <w:bodyDiv w:val="1"/>
      <w:marLeft w:val="0"/>
      <w:marRight w:val="0"/>
      <w:marTop w:val="0"/>
      <w:marBottom w:val="0"/>
      <w:divBdr>
        <w:top w:val="none" w:sz="0" w:space="0" w:color="auto"/>
        <w:left w:val="none" w:sz="0" w:space="0" w:color="auto"/>
        <w:bottom w:val="none" w:sz="0" w:space="0" w:color="auto"/>
        <w:right w:val="none" w:sz="0" w:space="0" w:color="auto"/>
      </w:divBdr>
    </w:div>
    <w:div w:id="1089929350">
      <w:bodyDiv w:val="1"/>
      <w:marLeft w:val="0"/>
      <w:marRight w:val="0"/>
      <w:marTop w:val="0"/>
      <w:marBottom w:val="0"/>
      <w:divBdr>
        <w:top w:val="none" w:sz="0" w:space="0" w:color="auto"/>
        <w:left w:val="none" w:sz="0" w:space="0" w:color="auto"/>
        <w:bottom w:val="none" w:sz="0" w:space="0" w:color="auto"/>
        <w:right w:val="none" w:sz="0" w:space="0" w:color="auto"/>
      </w:divBdr>
    </w:div>
    <w:div w:id="1098987257">
      <w:bodyDiv w:val="1"/>
      <w:marLeft w:val="0"/>
      <w:marRight w:val="0"/>
      <w:marTop w:val="0"/>
      <w:marBottom w:val="0"/>
      <w:divBdr>
        <w:top w:val="none" w:sz="0" w:space="0" w:color="auto"/>
        <w:left w:val="none" w:sz="0" w:space="0" w:color="auto"/>
        <w:bottom w:val="none" w:sz="0" w:space="0" w:color="auto"/>
        <w:right w:val="none" w:sz="0" w:space="0" w:color="auto"/>
      </w:divBdr>
    </w:div>
    <w:div w:id="1119109490">
      <w:bodyDiv w:val="1"/>
      <w:marLeft w:val="0"/>
      <w:marRight w:val="0"/>
      <w:marTop w:val="0"/>
      <w:marBottom w:val="0"/>
      <w:divBdr>
        <w:top w:val="none" w:sz="0" w:space="0" w:color="auto"/>
        <w:left w:val="none" w:sz="0" w:space="0" w:color="auto"/>
        <w:bottom w:val="none" w:sz="0" w:space="0" w:color="auto"/>
        <w:right w:val="none" w:sz="0" w:space="0" w:color="auto"/>
      </w:divBdr>
    </w:div>
    <w:div w:id="1150826043">
      <w:bodyDiv w:val="1"/>
      <w:marLeft w:val="0"/>
      <w:marRight w:val="0"/>
      <w:marTop w:val="0"/>
      <w:marBottom w:val="0"/>
      <w:divBdr>
        <w:top w:val="none" w:sz="0" w:space="0" w:color="auto"/>
        <w:left w:val="none" w:sz="0" w:space="0" w:color="auto"/>
        <w:bottom w:val="none" w:sz="0" w:space="0" w:color="auto"/>
        <w:right w:val="none" w:sz="0" w:space="0" w:color="auto"/>
      </w:divBdr>
    </w:div>
    <w:div w:id="1153066658">
      <w:bodyDiv w:val="1"/>
      <w:marLeft w:val="0"/>
      <w:marRight w:val="0"/>
      <w:marTop w:val="0"/>
      <w:marBottom w:val="0"/>
      <w:divBdr>
        <w:top w:val="none" w:sz="0" w:space="0" w:color="auto"/>
        <w:left w:val="none" w:sz="0" w:space="0" w:color="auto"/>
        <w:bottom w:val="none" w:sz="0" w:space="0" w:color="auto"/>
        <w:right w:val="none" w:sz="0" w:space="0" w:color="auto"/>
      </w:divBdr>
    </w:div>
    <w:div w:id="1160195237">
      <w:bodyDiv w:val="1"/>
      <w:marLeft w:val="0"/>
      <w:marRight w:val="0"/>
      <w:marTop w:val="0"/>
      <w:marBottom w:val="0"/>
      <w:divBdr>
        <w:top w:val="none" w:sz="0" w:space="0" w:color="auto"/>
        <w:left w:val="none" w:sz="0" w:space="0" w:color="auto"/>
        <w:bottom w:val="none" w:sz="0" w:space="0" w:color="auto"/>
        <w:right w:val="none" w:sz="0" w:space="0" w:color="auto"/>
      </w:divBdr>
    </w:div>
    <w:div w:id="1202941925">
      <w:bodyDiv w:val="1"/>
      <w:marLeft w:val="0"/>
      <w:marRight w:val="0"/>
      <w:marTop w:val="0"/>
      <w:marBottom w:val="0"/>
      <w:divBdr>
        <w:top w:val="none" w:sz="0" w:space="0" w:color="auto"/>
        <w:left w:val="none" w:sz="0" w:space="0" w:color="auto"/>
        <w:bottom w:val="none" w:sz="0" w:space="0" w:color="auto"/>
        <w:right w:val="none" w:sz="0" w:space="0" w:color="auto"/>
      </w:divBdr>
    </w:div>
    <w:div w:id="1218586229">
      <w:bodyDiv w:val="1"/>
      <w:marLeft w:val="0"/>
      <w:marRight w:val="0"/>
      <w:marTop w:val="0"/>
      <w:marBottom w:val="0"/>
      <w:divBdr>
        <w:top w:val="none" w:sz="0" w:space="0" w:color="auto"/>
        <w:left w:val="none" w:sz="0" w:space="0" w:color="auto"/>
        <w:bottom w:val="none" w:sz="0" w:space="0" w:color="auto"/>
        <w:right w:val="none" w:sz="0" w:space="0" w:color="auto"/>
      </w:divBdr>
    </w:div>
    <w:div w:id="1249540012">
      <w:bodyDiv w:val="1"/>
      <w:marLeft w:val="0"/>
      <w:marRight w:val="0"/>
      <w:marTop w:val="0"/>
      <w:marBottom w:val="0"/>
      <w:divBdr>
        <w:top w:val="none" w:sz="0" w:space="0" w:color="auto"/>
        <w:left w:val="none" w:sz="0" w:space="0" w:color="auto"/>
        <w:bottom w:val="none" w:sz="0" w:space="0" w:color="auto"/>
        <w:right w:val="none" w:sz="0" w:space="0" w:color="auto"/>
      </w:divBdr>
    </w:div>
    <w:div w:id="1268926960">
      <w:bodyDiv w:val="1"/>
      <w:marLeft w:val="0"/>
      <w:marRight w:val="0"/>
      <w:marTop w:val="0"/>
      <w:marBottom w:val="0"/>
      <w:divBdr>
        <w:top w:val="none" w:sz="0" w:space="0" w:color="auto"/>
        <w:left w:val="none" w:sz="0" w:space="0" w:color="auto"/>
        <w:bottom w:val="none" w:sz="0" w:space="0" w:color="auto"/>
        <w:right w:val="none" w:sz="0" w:space="0" w:color="auto"/>
      </w:divBdr>
    </w:div>
    <w:div w:id="1296065323">
      <w:bodyDiv w:val="1"/>
      <w:marLeft w:val="0"/>
      <w:marRight w:val="0"/>
      <w:marTop w:val="0"/>
      <w:marBottom w:val="0"/>
      <w:divBdr>
        <w:top w:val="none" w:sz="0" w:space="0" w:color="auto"/>
        <w:left w:val="none" w:sz="0" w:space="0" w:color="auto"/>
        <w:bottom w:val="none" w:sz="0" w:space="0" w:color="auto"/>
        <w:right w:val="none" w:sz="0" w:space="0" w:color="auto"/>
      </w:divBdr>
    </w:div>
    <w:div w:id="1309749425">
      <w:bodyDiv w:val="1"/>
      <w:marLeft w:val="0"/>
      <w:marRight w:val="0"/>
      <w:marTop w:val="0"/>
      <w:marBottom w:val="0"/>
      <w:divBdr>
        <w:top w:val="none" w:sz="0" w:space="0" w:color="auto"/>
        <w:left w:val="none" w:sz="0" w:space="0" w:color="auto"/>
        <w:bottom w:val="none" w:sz="0" w:space="0" w:color="auto"/>
        <w:right w:val="none" w:sz="0" w:space="0" w:color="auto"/>
      </w:divBdr>
    </w:div>
    <w:div w:id="1313414797">
      <w:bodyDiv w:val="1"/>
      <w:marLeft w:val="0"/>
      <w:marRight w:val="0"/>
      <w:marTop w:val="0"/>
      <w:marBottom w:val="0"/>
      <w:divBdr>
        <w:top w:val="none" w:sz="0" w:space="0" w:color="auto"/>
        <w:left w:val="none" w:sz="0" w:space="0" w:color="auto"/>
        <w:bottom w:val="none" w:sz="0" w:space="0" w:color="auto"/>
        <w:right w:val="none" w:sz="0" w:space="0" w:color="auto"/>
      </w:divBdr>
    </w:div>
    <w:div w:id="1314869975">
      <w:bodyDiv w:val="1"/>
      <w:marLeft w:val="0"/>
      <w:marRight w:val="0"/>
      <w:marTop w:val="0"/>
      <w:marBottom w:val="0"/>
      <w:divBdr>
        <w:top w:val="none" w:sz="0" w:space="0" w:color="auto"/>
        <w:left w:val="none" w:sz="0" w:space="0" w:color="auto"/>
        <w:bottom w:val="none" w:sz="0" w:space="0" w:color="auto"/>
        <w:right w:val="none" w:sz="0" w:space="0" w:color="auto"/>
      </w:divBdr>
    </w:div>
    <w:div w:id="1340280989">
      <w:bodyDiv w:val="1"/>
      <w:marLeft w:val="0"/>
      <w:marRight w:val="0"/>
      <w:marTop w:val="0"/>
      <w:marBottom w:val="0"/>
      <w:divBdr>
        <w:top w:val="none" w:sz="0" w:space="0" w:color="auto"/>
        <w:left w:val="none" w:sz="0" w:space="0" w:color="auto"/>
        <w:bottom w:val="none" w:sz="0" w:space="0" w:color="auto"/>
        <w:right w:val="none" w:sz="0" w:space="0" w:color="auto"/>
      </w:divBdr>
    </w:div>
    <w:div w:id="1341002971">
      <w:bodyDiv w:val="1"/>
      <w:marLeft w:val="0"/>
      <w:marRight w:val="0"/>
      <w:marTop w:val="0"/>
      <w:marBottom w:val="0"/>
      <w:divBdr>
        <w:top w:val="none" w:sz="0" w:space="0" w:color="auto"/>
        <w:left w:val="none" w:sz="0" w:space="0" w:color="auto"/>
        <w:bottom w:val="none" w:sz="0" w:space="0" w:color="auto"/>
        <w:right w:val="none" w:sz="0" w:space="0" w:color="auto"/>
      </w:divBdr>
    </w:div>
    <w:div w:id="1343123376">
      <w:bodyDiv w:val="1"/>
      <w:marLeft w:val="0"/>
      <w:marRight w:val="0"/>
      <w:marTop w:val="0"/>
      <w:marBottom w:val="0"/>
      <w:divBdr>
        <w:top w:val="none" w:sz="0" w:space="0" w:color="auto"/>
        <w:left w:val="none" w:sz="0" w:space="0" w:color="auto"/>
        <w:bottom w:val="none" w:sz="0" w:space="0" w:color="auto"/>
        <w:right w:val="none" w:sz="0" w:space="0" w:color="auto"/>
      </w:divBdr>
    </w:div>
    <w:div w:id="1346325592">
      <w:bodyDiv w:val="1"/>
      <w:marLeft w:val="0"/>
      <w:marRight w:val="0"/>
      <w:marTop w:val="0"/>
      <w:marBottom w:val="0"/>
      <w:divBdr>
        <w:top w:val="none" w:sz="0" w:space="0" w:color="auto"/>
        <w:left w:val="none" w:sz="0" w:space="0" w:color="auto"/>
        <w:bottom w:val="none" w:sz="0" w:space="0" w:color="auto"/>
        <w:right w:val="none" w:sz="0" w:space="0" w:color="auto"/>
      </w:divBdr>
    </w:div>
    <w:div w:id="1355885688">
      <w:bodyDiv w:val="1"/>
      <w:marLeft w:val="0"/>
      <w:marRight w:val="0"/>
      <w:marTop w:val="0"/>
      <w:marBottom w:val="0"/>
      <w:divBdr>
        <w:top w:val="none" w:sz="0" w:space="0" w:color="auto"/>
        <w:left w:val="none" w:sz="0" w:space="0" w:color="auto"/>
        <w:bottom w:val="none" w:sz="0" w:space="0" w:color="auto"/>
        <w:right w:val="none" w:sz="0" w:space="0" w:color="auto"/>
      </w:divBdr>
    </w:div>
    <w:div w:id="1356421243">
      <w:bodyDiv w:val="1"/>
      <w:marLeft w:val="0"/>
      <w:marRight w:val="0"/>
      <w:marTop w:val="0"/>
      <w:marBottom w:val="0"/>
      <w:divBdr>
        <w:top w:val="none" w:sz="0" w:space="0" w:color="auto"/>
        <w:left w:val="none" w:sz="0" w:space="0" w:color="auto"/>
        <w:bottom w:val="none" w:sz="0" w:space="0" w:color="auto"/>
        <w:right w:val="none" w:sz="0" w:space="0" w:color="auto"/>
      </w:divBdr>
    </w:div>
    <w:div w:id="1384215942">
      <w:bodyDiv w:val="1"/>
      <w:marLeft w:val="0"/>
      <w:marRight w:val="0"/>
      <w:marTop w:val="0"/>
      <w:marBottom w:val="0"/>
      <w:divBdr>
        <w:top w:val="none" w:sz="0" w:space="0" w:color="auto"/>
        <w:left w:val="none" w:sz="0" w:space="0" w:color="auto"/>
        <w:bottom w:val="none" w:sz="0" w:space="0" w:color="auto"/>
        <w:right w:val="none" w:sz="0" w:space="0" w:color="auto"/>
      </w:divBdr>
    </w:div>
    <w:div w:id="1405103025">
      <w:bodyDiv w:val="1"/>
      <w:marLeft w:val="0"/>
      <w:marRight w:val="0"/>
      <w:marTop w:val="0"/>
      <w:marBottom w:val="0"/>
      <w:divBdr>
        <w:top w:val="none" w:sz="0" w:space="0" w:color="auto"/>
        <w:left w:val="none" w:sz="0" w:space="0" w:color="auto"/>
        <w:bottom w:val="none" w:sz="0" w:space="0" w:color="auto"/>
        <w:right w:val="none" w:sz="0" w:space="0" w:color="auto"/>
      </w:divBdr>
    </w:div>
    <w:div w:id="1433476168">
      <w:bodyDiv w:val="1"/>
      <w:marLeft w:val="0"/>
      <w:marRight w:val="0"/>
      <w:marTop w:val="0"/>
      <w:marBottom w:val="0"/>
      <w:divBdr>
        <w:top w:val="none" w:sz="0" w:space="0" w:color="auto"/>
        <w:left w:val="none" w:sz="0" w:space="0" w:color="auto"/>
        <w:bottom w:val="none" w:sz="0" w:space="0" w:color="auto"/>
        <w:right w:val="none" w:sz="0" w:space="0" w:color="auto"/>
      </w:divBdr>
    </w:div>
    <w:div w:id="1438595576">
      <w:bodyDiv w:val="1"/>
      <w:marLeft w:val="0"/>
      <w:marRight w:val="0"/>
      <w:marTop w:val="0"/>
      <w:marBottom w:val="0"/>
      <w:divBdr>
        <w:top w:val="none" w:sz="0" w:space="0" w:color="auto"/>
        <w:left w:val="none" w:sz="0" w:space="0" w:color="auto"/>
        <w:bottom w:val="none" w:sz="0" w:space="0" w:color="auto"/>
        <w:right w:val="none" w:sz="0" w:space="0" w:color="auto"/>
      </w:divBdr>
    </w:div>
    <w:div w:id="1458138511">
      <w:bodyDiv w:val="1"/>
      <w:marLeft w:val="0"/>
      <w:marRight w:val="0"/>
      <w:marTop w:val="0"/>
      <w:marBottom w:val="0"/>
      <w:divBdr>
        <w:top w:val="none" w:sz="0" w:space="0" w:color="auto"/>
        <w:left w:val="none" w:sz="0" w:space="0" w:color="auto"/>
        <w:bottom w:val="none" w:sz="0" w:space="0" w:color="auto"/>
        <w:right w:val="none" w:sz="0" w:space="0" w:color="auto"/>
      </w:divBdr>
    </w:div>
    <w:div w:id="1475291933">
      <w:bodyDiv w:val="1"/>
      <w:marLeft w:val="0"/>
      <w:marRight w:val="0"/>
      <w:marTop w:val="0"/>
      <w:marBottom w:val="0"/>
      <w:divBdr>
        <w:top w:val="none" w:sz="0" w:space="0" w:color="auto"/>
        <w:left w:val="none" w:sz="0" w:space="0" w:color="auto"/>
        <w:bottom w:val="none" w:sz="0" w:space="0" w:color="auto"/>
        <w:right w:val="none" w:sz="0" w:space="0" w:color="auto"/>
      </w:divBdr>
    </w:div>
    <w:div w:id="1531994433">
      <w:bodyDiv w:val="1"/>
      <w:marLeft w:val="0"/>
      <w:marRight w:val="0"/>
      <w:marTop w:val="0"/>
      <w:marBottom w:val="0"/>
      <w:divBdr>
        <w:top w:val="none" w:sz="0" w:space="0" w:color="auto"/>
        <w:left w:val="none" w:sz="0" w:space="0" w:color="auto"/>
        <w:bottom w:val="none" w:sz="0" w:space="0" w:color="auto"/>
        <w:right w:val="none" w:sz="0" w:space="0" w:color="auto"/>
      </w:divBdr>
    </w:div>
    <w:div w:id="1540782240">
      <w:bodyDiv w:val="1"/>
      <w:marLeft w:val="0"/>
      <w:marRight w:val="0"/>
      <w:marTop w:val="0"/>
      <w:marBottom w:val="0"/>
      <w:divBdr>
        <w:top w:val="none" w:sz="0" w:space="0" w:color="auto"/>
        <w:left w:val="none" w:sz="0" w:space="0" w:color="auto"/>
        <w:bottom w:val="none" w:sz="0" w:space="0" w:color="auto"/>
        <w:right w:val="none" w:sz="0" w:space="0" w:color="auto"/>
      </w:divBdr>
    </w:div>
    <w:div w:id="1568878012">
      <w:bodyDiv w:val="1"/>
      <w:marLeft w:val="0"/>
      <w:marRight w:val="0"/>
      <w:marTop w:val="0"/>
      <w:marBottom w:val="0"/>
      <w:divBdr>
        <w:top w:val="none" w:sz="0" w:space="0" w:color="auto"/>
        <w:left w:val="none" w:sz="0" w:space="0" w:color="auto"/>
        <w:bottom w:val="none" w:sz="0" w:space="0" w:color="auto"/>
        <w:right w:val="none" w:sz="0" w:space="0" w:color="auto"/>
      </w:divBdr>
    </w:div>
    <w:div w:id="1570575076">
      <w:bodyDiv w:val="1"/>
      <w:marLeft w:val="0"/>
      <w:marRight w:val="0"/>
      <w:marTop w:val="0"/>
      <w:marBottom w:val="0"/>
      <w:divBdr>
        <w:top w:val="none" w:sz="0" w:space="0" w:color="auto"/>
        <w:left w:val="none" w:sz="0" w:space="0" w:color="auto"/>
        <w:bottom w:val="none" w:sz="0" w:space="0" w:color="auto"/>
        <w:right w:val="none" w:sz="0" w:space="0" w:color="auto"/>
      </w:divBdr>
    </w:div>
    <w:div w:id="1583640343">
      <w:bodyDiv w:val="1"/>
      <w:marLeft w:val="0"/>
      <w:marRight w:val="0"/>
      <w:marTop w:val="0"/>
      <w:marBottom w:val="0"/>
      <w:divBdr>
        <w:top w:val="none" w:sz="0" w:space="0" w:color="auto"/>
        <w:left w:val="none" w:sz="0" w:space="0" w:color="auto"/>
        <w:bottom w:val="none" w:sz="0" w:space="0" w:color="auto"/>
        <w:right w:val="none" w:sz="0" w:space="0" w:color="auto"/>
      </w:divBdr>
    </w:div>
    <w:div w:id="1608537338">
      <w:bodyDiv w:val="1"/>
      <w:marLeft w:val="0"/>
      <w:marRight w:val="0"/>
      <w:marTop w:val="0"/>
      <w:marBottom w:val="0"/>
      <w:divBdr>
        <w:top w:val="none" w:sz="0" w:space="0" w:color="auto"/>
        <w:left w:val="none" w:sz="0" w:space="0" w:color="auto"/>
        <w:bottom w:val="none" w:sz="0" w:space="0" w:color="auto"/>
        <w:right w:val="none" w:sz="0" w:space="0" w:color="auto"/>
      </w:divBdr>
    </w:div>
    <w:div w:id="1626429052">
      <w:bodyDiv w:val="1"/>
      <w:marLeft w:val="0"/>
      <w:marRight w:val="0"/>
      <w:marTop w:val="0"/>
      <w:marBottom w:val="0"/>
      <w:divBdr>
        <w:top w:val="none" w:sz="0" w:space="0" w:color="auto"/>
        <w:left w:val="none" w:sz="0" w:space="0" w:color="auto"/>
        <w:bottom w:val="none" w:sz="0" w:space="0" w:color="auto"/>
        <w:right w:val="none" w:sz="0" w:space="0" w:color="auto"/>
      </w:divBdr>
    </w:div>
    <w:div w:id="1629815690">
      <w:bodyDiv w:val="1"/>
      <w:marLeft w:val="0"/>
      <w:marRight w:val="0"/>
      <w:marTop w:val="0"/>
      <w:marBottom w:val="0"/>
      <w:divBdr>
        <w:top w:val="none" w:sz="0" w:space="0" w:color="auto"/>
        <w:left w:val="none" w:sz="0" w:space="0" w:color="auto"/>
        <w:bottom w:val="none" w:sz="0" w:space="0" w:color="auto"/>
        <w:right w:val="none" w:sz="0" w:space="0" w:color="auto"/>
      </w:divBdr>
    </w:div>
    <w:div w:id="1631744457">
      <w:bodyDiv w:val="1"/>
      <w:marLeft w:val="0"/>
      <w:marRight w:val="0"/>
      <w:marTop w:val="0"/>
      <w:marBottom w:val="0"/>
      <w:divBdr>
        <w:top w:val="none" w:sz="0" w:space="0" w:color="auto"/>
        <w:left w:val="none" w:sz="0" w:space="0" w:color="auto"/>
        <w:bottom w:val="none" w:sz="0" w:space="0" w:color="auto"/>
        <w:right w:val="none" w:sz="0" w:space="0" w:color="auto"/>
      </w:divBdr>
    </w:div>
    <w:div w:id="1636056872">
      <w:bodyDiv w:val="1"/>
      <w:marLeft w:val="0"/>
      <w:marRight w:val="0"/>
      <w:marTop w:val="0"/>
      <w:marBottom w:val="0"/>
      <w:divBdr>
        <w:top w:val="none" w:sz="0" w:space="0" w:color="auto"/>
        <w:left w:val="none" w:sz="0" w:space="0" w:color="auto"/>
        <w:bottom w:val="none" w:sz="0" w:space="0" w:color="auto"/>
        <w:right w:val="none" w:sz="0" w:space="0" w:color="auto"/>
      </w:divBdr>
    </w:div>
    <w:div w:id="1636525851">
      <w:bodyDiv w:val="1"/>
      <w:marLeft w:val="0"/>
      <w:marRight w:val="0"/>
      <w:marTop w:val="0"/>
      <w:marBottom w:val="0"/>
      <w:divBdr>
        <w:top w:val="none" w:sz="0" w:space="0" w:color="auto"/>
        <w:left w:val="none" w:sz="0" w:space="0" w:color="auto"/>
        <w:bottom w:val="none" w:sz="0" w:space="0" w:color="auto"/>
        <w:right w:val="none" w:sz="0" w:space="0" w:color="auto"/>
      </w:divBdr>
    </w:div>
    <w:div w:id="1648435423">
      <w:bodyDiv w:val="1"/>
      <w:marLeft w:val="0"/>
      <w:marRight w:val="0"/>
      <w:marTop w:val="0"/>
      <w:marBottom w:val="0"/>
      <w:divBdr>
        <w:top w:val="none" w:sz="0" w:space="0" w:color="auto"/>
        <w:left w:val="none" w:sz="0" w:space="0" w:color="auto"/>
        <w:bottom w:val="none" w:sz="0" w:space="0" w:color="auto"/>
        <w:right w:val="none" w:sz="0" w:space="0" w:color="auto"/>
      </w:divBdr>
    </w:div>
    <w:div w:id="1651212213">
      <w:bodyDiv w:val="1"/>
      <w:marLeft w:val="0"/>
      <w:marRight w:val="0"/>
      <w:marTop w:val="0"/>
      <w:marBottom w:val="0"/>
      <w:divBdr>
        <w:top w:val="none" w:sz="0" w:space="0" w:color="auto"/>
        <w:left w:val="none" w:sz="0" w:space="0" w:color="auto"/>
        <w:bottom w:val="none" w:sz="0" w:space="0" w:color="auto"/>
        <w:right w:val="none" w:sz="0" w:space="0" w:color="auto"/>
      </w:divBdr>
    </w:div>
    <w:div w:id="1658609359">
      <w:bodyDiv w:val="1"/>
      <w:marLeft w:val="0"/>
      <w:marRight w:val="0"/>
      <w:marTop w:val="0"/>
      <w:marBottom w:val="0"/>
      <w:divBdr>
        <w:top w:val="none" w:sz="0" w:space="0" w:color="auto"/>
        <w:left w:val="none" w:sz="0" w:space="0" w:color="auto"/>
        <w:bottom w:val="none" w:sz="0" w:space="0" w:color="auto"/>
        <w:right w:val="none" w:sz="0" w:space="0" w:color="auto"/>
      </w:divBdr>
    </w:div>
    <w:div w:id="1673679390">
      <w:bodyDiv w:val="1"/>
      <w:marLeft w:val="0"/>
      <w:marRight w:val="0"/>
      <w:marTop w:val="0"/>
      <w:marBottom w:val="0"/>
      <w:divBdr>
        <w:top w:val="none" w:sz="0" w:space="0" w:color="auto"/>
        <w:left w:val="none" w:sz="0" w:space="0" w:color="auto"/>
        <w:bottom w:val="none" w:sz="0" w:space="0" w:color="auto"/>
        <w:right w:val="none" w:sz="0" w:space="0" w:color="auto"/>
      </w:divBdr>
    </w:div>
    <w:div w:id="1701280152">
      <w:bodyDiv w:val="1"/>
      <w:marLeft w:val="0"/>
      <w:marRight w:val="0"/>
      <w:marTop w:val="0"/>
      <w:marBottom w:val="0"/>
      <w:divBdr>
        <w:top w:val="none" w:sz="0" w:space="0" w:color="auto"/>
        <w:left w:val="none" w:sz="0" w:space="0" w:color="auto"/>
        <w:bottom w:val="none" w:sz="0" w:space="0" w:color="auto"/>
        <w:right w:val="none" w:sz="0" w:space="0" w:color="auto"/>
      </w:divBdr>
    </w:div>
    <w:div w:id="1705790235">
      <w:bodyDiv w:val="1"/>
      <w:marLeft w:val="0"/>
      <w:marRight w:val="0"/>
      <w:marTop w:val="0"/>
      <w:marBottom w:val="0"/>
      <w:divBdr>
        <w:top w:val="none" w:sz="0" w:space="0" w:color="auto"/>
        <w:left w:val="none" w:sz="0" w:space="0" w:color="auto"/>
        <w:bottom w:val="none" w:sz="0" w:space="0" w:color="auto"/>
        <w:right w:val="none" w:sz="0" w:space="0" w:color="auto"/>
      </w:divBdr>
    </w:div>
    <w:div w:id="1732465356">
      <w:bodyDiv w:val="1"/>
      <w:marLeft w:val="0"/>
      <w:marRight w:val="0"/>
      <w:marTop w:val="0"/>
      <w:marBottom w:val="0"/>
      <w:divBdr>
        <w:top w:val="none" w:sz="0" w:space="0" w:color="auto"/>
        <w:left w:val="none" w:sz="0" w:space="0" w:color="auto"/>
        <w:bottom w:val="none" w:sz="0" w:space="0" w:color="auto"/>
        <w:right w:val="none" w:sz="0" w:space="0" w:color="auto"/>
      </w:divBdr>
    </w:div>
    <w:div w:id="1733383483">
      <w:bodyDiv w:val="1"/>
      <w:marLeft w:val="0"/>
      <w:marRight w:val="0"/>
      <w:marTop w:val="0"/>
      <w:marBottom w:val="0"/>
      <w:divBdr>
        <w:top w:val="none" w:sz="0" w:space="0" w:color="auto"/>
        <w:left w:val="none" w:sz="0" w:space="0" w:color="auto"/>
        <w:bottom w:val="none" w:sz="0" w:space="0" w:color="auto"/>
        <w:right w:val="none" w:sz="0" w:space="0" w:color="auto"/>
      </w:divBdr>
    </w:div>
    <w:div w:id="1733581180">
      <w:bodyDiv w:val="1"/>
      <w:marLeft w:val="0"/>
      <w:marRight w:val="0"/>
      <w:marTop w:val="0"/>
      <w:marBottom w:val="0"/>
      <w:divBdr>
        <w:top w:val="none" w:sz="0" w:space="0" w:color="auto"/>
        <w:left w:val="none" w:sz="0" w:space="0" w:color="auto"/>
        <w:bottom w:val="none" w:sz="0" w:space="0" w:color="auto"/>
        <w:right w:val="none" w:sz="0" w:space="0" w:color="auto"/>
      </w:divBdr>
    </w:div>
    <w:div w:id="1750928874">
      <w:bodyDiv w:val="1"/>
      <w:marLeft w:val="0"/>
      <w:marRight w:val="0"/>
      <w:marTop w:val="0"/>
      <w:marBottom w:val="0"/>
      <w:divBdr>
        <w:top w:val="none" w:sz="0" w:space="0" w:color="auto"/>
        <w:left w:val="none" w:sz="0" w:space="0" w:color="auto"/>
        <w:bottom w:val="none" w:sz="0" w:space="0" w:color="auto"/>
        <w:right w:val="none" w:sz="0" w:space="0" w:color="auto"/>
      </w:divBdr>
    </w:div>
    <w:div w:id="1752313638">
      <w:bodyDiv w:val="1"/>
      <w:marLeft w:val="0"/>
      <w:marRight w:val="0"/>
      <w:marTop w:val="0"/>
      <w:marBottom w:val="0"/>
      <w:divBdr>
        <w:top w:val="none" w:sz="0" w:space="0" w:color="auto"/>
        <w:left w:val="none" w:sz="0" w:space="0" w:color="auto"/>
        <w:bottom w:val="none" w:sz="0" w:space="0" w:color="auto"/>
        <w:right w:val="none" w:sz="0" w:space="0" w:color="auto"/>
      </w:divBdr>
    </w:div>
    <w:div w:id="1761608136">
      <w:bodyDiv w:val="1"/>
      <w:marLeft w:val="0"/>
      <w:marRight w:val="0"/>
      <w:marTop w:val="0"/>
      <w:marBottom w:val="0"/>
      <w:divBdr>
        <w:top w:val="none" w:sz="0" w:space="0" w:color="auto"/>
        <w:left w:val="none" w:sz="0" w:space="0" w:color="auto"/>
        <w:bottom w:val="none" w:sz="0" w:space="0" w:color="auto"/>
        <w:right w:val="none" w:sz="0" w:space="0" w:color="auto"/>
      </w:divBdr>
    </w:div>
    <w:div w:id="1791127567">
      <w:bodyDiv w:val="1"/>
      <w:marLeft w:val="0"/>
      <w:marRight w:val="0"/>
      <w:marTop w:val="0"/>
      <w:marBottom w:val="0"/>
      <w:divBdr>
        <w:top w:val="none" w:sz="0" w:space="0" w:color="auto"/>
        <w:left w:val="none" w:sz="0" w:space="0" w:color="auto"/>
        <w:bottom w:val="none" w:sz="0" w:space="0" w:color="auto"/>
        <w:right w:val="none" w:sz="0" w:space="0" w:color="auto"/>
      </w:divBdr>
    </w:div>
    <w:div w:id="1799562871">
      <w:bodyDiv w:val="1"/>
      <w:marLeft w:val="0"/>
      <w:marRight w:val="0"/>
      <w:marTop w:val="0"/>
      <w:marBottom w:val="0"/>
      <w:divBdr>
        <w:top w:val="none" w:sz="0" w:space="0" w:color="auto"/>
        <w:left w:val="none" w:sz="0" w:space="0" w:color="auto"/>
        <w:bottom w:val="none" w:sz="0" w:space="0" w:color="auto"/>
        <w:right w:val="none" w:sz="0" w:space="0" w:color="auto"/>
      </w:divBdr>
    </w:div>
    <w:div w:id="1818378106">
      <w:bodyDiv w:val="1"/>
      <w:marLeft w:val="0"/>
      <w:marRight w:val="0"/>
      <w:marTop w:val="0"/>
      <w:marBottom w:val="0"/>
      <w:divBdr>
        <w:top w:val="none" w:sz="0" w:space="0" w:color="auto"/>
        <w:left w:val="none" w:sz="0" w:space="0" w:color="auto"/>
        <w:bottom w:val="none" w:sz="0" w:space="0" w:color="auto"/>
        <w:right w:val="none" w:sz="0" w:space="0" w:color="auto"/>
      </w:divBdr>
    </w:div>
    <w:div w:id="1858613813">
      <w:bodyDiv w:val="1"/>
      <w:marLeft w:val="0"/>
      <w:marRight w:val="0"/>
      <w:marTop w:val="0"/>
      <w:marBottom w:val="0"/>
      <w:divBdr>
        <w:top w:val="none" w:sz="0" w:space="0" w:color="auto"/>
        <w:left w:val="none" w:sz="0" w:space="0" w:color="auto"/>
        <w:bottom w:val="none" w:sz="0" w:space="0" w:color="auto"/>
        <w:right w:val="none" w:sz="0" w:space="0" w:color="auto"/>
      </w:divBdr>
    </w:div>
    <w:div w:id="1892181792">
      <w:bodyDiv w:val="1"/>
      <w:marLeft w:val="0"/>
      <w:marRight w:val="0"/>
      <w:marTop w:val="0"/>
      <w:marBottom w:val="0"/>
      <w:divBdr>
        <w:top w:val="none" w:sz="0" w:space="0" w:color="auto"/>
        <w:left w:val="none" w:sz="0" w:space="0" w:color="auto"/>
        <w:bottom w:val="none" w:sz="0" w:space="0" w:color="auto"/>
        <w:right w:val="none" w:sz="0" w:space="0" w:color="auto"/>
      </w:divBdr>
    </w:div>
    <w:div w:id="1913470757">
      <w:bodyDiv w:val="1"/>
      <w:marLeft w:val="0"/>
      <w:marRight w:val="0"/>
      <w:marTop w:val="0"/>
      <w:marBottom w:val="0"/>
      <w:divBdr>
        <w:top w:val="none" w:sz="0" w:space="0" w:color="auto"/>
        <w:left w:val="none" w:sz="0" w:space="0" w:color="auto"/>
        <w:bottom w:val="none" w:sz="0" w:space="0" w:color="auto"/>
        <w:right w:val="none" w:sz="0" w:space="0" w:color="auto"/>
      </w:divBdr>
    </w:div>
    <w:div w:id="1923642219">
      <w:bodyDiv w:val="1"/>
      <w:marLeft w:val="0"/>
      <w:marRight w:val="0"/>
      <w:marTop w:val="0"/>
      <w:marBottom w:val="0"/>
      <w:divBdr>
        <w:top w:val="none" w:sz="0" w:space="0" w:color="auto"/>
        <w:left w:val="none" w:sz="0" w:space="0" w:color="auto"/>
        <w:bottom w:val="none" w:sz="0" w:space="0" w:color="auto"/>
        <w:right w:val="none" w:sz="0" w:space="0" w:color="auto"/>
      </w:divBdr>
    </w:div>
    <w:div w:id="1925413611">
      <w:bodyDiv w:val="1"/>
      <w:marLeft w:val="0"/>
      <w:marRight w:val="0"/>
      <w:marTop w:val="0"/>
      <w:marBottom w:val="0"/>
      <w:divBdr>
        <w:top w:val="none" w:sz="0" w:space="0" w:color="auto"/>
        <w:left w:val="none" w:sz="0" w:space="0" w:color="auto"/>
        <w:bottom w:val="none" w:sz="0" w:space="0" w:color="auto"/>
        <w:right w:val="none" w:sz="0" w:space="0" w:color="auto"/>
      </w:divBdr>
    </w:div>
    <w:div w:id="1939482889">
      <w:bodyDiv w:val="1"/>
      <w:marLeft w:val="0"/>
      <w:marRight w:val="0"/>
      <w:marTop w:val="0"/>
      <w:marBottom w:val="0"/>
      <w:divBdr>
        <w:top w:val="none" w:sz="0" w:space="0" w:color="auto"/>
        <w:left w:val="none" w:sz="0" w:space="0" w:color="auto"/>
        <w:bottom w:val="none" w:sz="0" w:space="0" w:color="auto"/>
        <w:right w:val="none" w:sz="0" w:space="0" w:color="auto"/>
      </w:divBdr>
    </w:div>
    <w:div w:id="1950895465">
      <w:bodyDiv w:val="1"/>
      <w:marLeft w:val="0"/>
      <w:marRight w:val="0"/>
      <w:marTop w:val="0"/>
      <w:marBottom w:val="0"/>
      <w:divBdr>
        <w:top w:val="none" w:sz="0" w:space="0" w:color="auto"/>
        <w:left w:val="none" w:sz="0" w:space="0" w:color="auto"/>
        <w:bottom w:val="none" w:sz="0" w:space="0" w:color="auto"/>
        <w:right w:val="none" w:sz="0" w:space="0" w:color="auto"/>
      </w:divBdr>
    </w:div>
    <w:div w:id="1964572824">
      <w:bodyDiv w:val="1"/>
      <w:marLeft w:val="0"/>
      <w:marRight w:val="0"/>
      <w:marTop w:val="0"/>
      <w:marBottom w:val="0"/>
      <w:divBdr>
        <w:top w:val="none" w:sz="0" w:space="0" w:color="auto"/>
        <w:left w:val="none" w:sz="0" w:space="0" w:color="auto"/>
        <w:bottom w:val="none" w:sz="0" w:space="0" w:color="auto"/>
        <w:right w:val="none" w:sz="0" w:space="0" w:color="auto"/>
      </w:divBdr>
    </w:div>
    <w:div w:id="1987734134">
      <w:bodyDiv w:val="1"/>
      <w:marLeft w:val="0"/>
      <w:marRight w:val="0"/>
      <w:marTop w:val="0"/>
      <w:marBottom w:val="0"/>
      <w:divBdr>
        <w:top w:val="none" w:sz="0" w:space="0" w:color="auto"/>
        <w:left w:val="none" w:sz="0" w:space="0" w:color="auto"/>
        <w:bottom w:val="none" w:sz="0" w:space="0" w:color="auto"/>
        <w:right w:val="none" w:sz="0" w:space="0" w:color="auto"/>
      </w:divBdr>
    </w:div>
    <w:div w:id="1996566729">
      <w:bodyDiv w:val="1"/>
      <w:marLeft w:val="0"/>
      <w:marRight w:val="0"/>
      <w:marTop w:val="0"/>
      <w:marBottom w:val="0"/>
      <w:divBdr>
        <w:top w:val="none" w:sz="0" w:space="0" w:color="auto"/>
        <w:left w:val="none" w:sz="0" w:space="0" w:color="auto"/>
        <w:bottom w:val="none" w:sz="0" w:space="0" w:color="auto"/>
        <w:right w:val="none" w:sz="0" w:space="0" w:color="auto"/>
      </w:divBdr>
    </w:div>
    <w:div w:id="2003925436">
      <w:bodyDiv w:val="1"/>
      <w:marLeft w:val="0"/>
      <w:marRight w:val="0"/>
      <w:marTop w:val="0"/>
      <w:marBottom w:val="0"/>
      <w:divBdr>
        <w:top w:val="none" w:sz="0" w:space="0" w:color="auto"/>
        <w:left w:val="none" w:sz="0" w:space="0" w:color="auto"/>
        <w:bottom w:val="none" w:sz="0" w:space="0" w:color="auto"/>
        <w:right w:val="none" w:sz="0" w:space="0" w:color="auto"/>
      </w:divBdr>
    </w:div>
    <w:div w:id="2042247452">
      <w:bodyDiv w:val="1"/>
      <w:marLeft w:val="0"/>
      <w:marRight w:val="0"/>
      <w:marTop w:val="0"/>
      <w:marBottom w:val="0"/>
      <w:divBdr>
        <w:top w:val="none" w:sz="0" w:space="0" w:color="auto"/>
        <w:left w:val="none" w:sz="0" w:space="0" w:color="auto"/>
        <w:bottom w:val="none" w:sz="0" w:space="0" w:color="auto"/>
        <w:right w:val="none" w:sz="0" w:space="0" w:color="auto"/>
      </w:divBdr>
    </w:div>
    <w:div w:id="2067876705">
      <w:bodyDiv w:val="1"/>
      <w:marLeft w:val="0"/>
      <w:marRight w:val="0"/>
      <w:marTop w:val="0"/>
      <w:marBottom w:val="0"/>
      <w:divBdr>
        <w:top w:val="none" w:sz="0" w:space="0" w:color="auto"/>
        <w:left w:val="none" w:sz="0" w:space="0" w:color="auto"/>
        <w:bottom w:val="none" w:sz="0" w:space="0" w:color="auto"/>
        <w:right w:val="none" w:sz="0" w:space="0" w:color="auto"/>
      </w:divBdr>
    </w:div>
    <w:div w:id="2070765031">
      <w:bodyDiv w:val="1"/>
      <w:marLeft w:val="0"/>
      <w:marRight w:val="0"/>
      <w:marTop w:val="0"/>
      <w:marBottom w:val="0"/>
      <w:divBdr>
        <w:top w:val="none" w:sz="0" w:space="0" w:color="auto"/>
        <w:left w:val="none" w:sz="0" w:space="0" w:color="auto"/>
        <w:bottom w:val="none" w:sz="0" w:space="0" w:color="auto"/>
        <w:right w:val="none" w:sz="0" w:space="0" w:color="auto"/>
      </w:divBdr>
    </w:div>
    <w:div w:id="2083940958">
      <w:bodyDiv w:val="1"/>
      <w:marLeft w:val="0"/>
      <w:marRight w:val="0"/>
      <w:marTop w:val="0"/>
      <w:marBottom w:val="0"/>
      <w:divBdr>
        <w:top w:val="none" w:sz="0" w:space="0" w:color="auto"/>
        <w:left w:val="none" w:sz="0" w:space="0" w:color="auto"/>
        <w:bottom w:val="none" w:sz="0" w:space="0" w:color="auto"/>
        <w:right w:val="none" w:sz="0" w:space="0" w:color="auto"/>
      </w:divBdr>
    </w:div>
    <w:div w:id="2089450960">
      <w:bodyDiv w:val="1"/>
      <w:marLeft w:val="0"/>
      <w:marRight w:val="0"/>
      <w:marTop w:val="0"/>
      <w:marBottom w:val="0"/>
      <w:divBdr>
        <w:top w:val="none" w:sz="0" w:space="0" w:color="auto"/>
        <w:left w:val="none" w:sz="0" w:space="0" w:color="auto"/>
        <w:bottom w:val="none" w:sz="0" w:space="0" w:color="auto"/>
        <w:right w:val="none" w:sz="0" w:space="0" w:color="auto"/>
      </w:divBdr>
    </w:div>
    <w:div w:id="2091392451">
      <w:bodyDiv w:val="1"/>
      <w:marLeft w:val="0"/>
      <w:marRight w:val="0"/>
      <w:marTop w:val="0"/>
      <w:marBottom w:val="0"/>
      <w:divBdr>
        <w:top w:val="none" w:sz="0" w:space="0" w:color="auto"/>
        <w:left w:val="none" w:sz="0" w:space="0" w:color="auto"/>
        <w:bottom w:val="none" w:sz="0" w:space="0" w:color="auto"/>
        <w:right w:val="none" w:sz="0" w:space="0" w:color="auto"/>
      </w:divBdr>
    </w:div>
    <w:div w:id="2147044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27C2-E696-4424-849B-F4DB39B3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2201</TotalTime>
  <Pages>14</Pages>
  <Words>1505</Words>
  <Characters>8585</Characters>
  <Application>Microsoft Office Word</Application>
  <DocSecurity>0</DocSecurity>
  <Lines>71</Lines>
  <Paragraphs>20</Paragraphs>
  <ScaleCrop>false</ScaleCrop>
  <Company>湖州163软件园</Company>
  <LinksUpToDate>false</LinksUpToDate>
  <CharactersWithSpaces>10070</CharactersWithSpaces>
  <SharedDoc>false</SharedDoc>
  <HLinks>
    <vt:vector size="18" baseType="variant">
      <vt:variant>
        <vt:i4>458827</vt:i4>
      </vt:variant>
      <vt:variant>
        <vt:i4>6</vt:i4>
      </vt:variant>
      <vt:variant>
        <vt:i4>0</vt:i4>
      </vt:variant>
      <vt:variant>
        <vt:i4>5</vt:i4>
      </vt:variant>
      <vt:variant>
        <vt:lpwstr>http://www.fx678.com/indexs/MainInterest.html</vt:lpwstr>
      </vt:variant>
      <vt:variant>
        <vt:lpwstr/>
      </vt:variant>
      <vt:variant>
        <vt:i4>8257606</vt:i4>
      </vt:variant>
      <vt:variant>
        <vt:i4>3</vt:i4>
      </vt:variant>
      <vt:variant>
        <vt:i4>0</vt:i4>
      </vt:variant>
      <vt:variant>
        <vt:i4>5</vt:i4>
      </vt:variant>
      <vt:variant>
        <vt:lpwstr>http://yinghang.gold678.com/china_bank.shtml</vt:lpwstr>
      </vt:variant>
      <vt:variant>
        <vt:lpwstr/>
      </vt:variant>
      <vt:variant>
        <vt:i4>7929968</vt:i4>
      </vt:variant>
      <vt:variant>
        <vt:i4>0</vt:i4>
      </vt:variant>
      <vt:variant>
        <vt:i4>0</vt:i4>
      </vt:variant>
      <vt:variant>
        <vt:i4>5</vt:i4>
      </vt:variant>
      <vt:variant>
        <vt:lpwstr>http://www.fx678.com/news/currency/EUR.html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策略月报</dc:title>
  <dc:subject/>
  <dc:creator>liuyq</dc:creator>
  <cp:keywords/>
  <dc:description/>
  <cp:lastModifiedBy>刘亦千:全体人员</cp:lastModifiedBy>
  <cp:revision>75</cp:revision>
  <cp:lastPrinted>2014-03-07T05:46:00Z</cp:lastPrinted>
  <dcterms:created xsi:type="dcterms:W3CDTF">2013-11-06T09:21:00Z</dcterms:created>
  <dcterms:modified xsi:type="dcterms:W3CDTF">2014-03-07T06:14:00Z</dcterms:modified>
</cp:coreProperties>
</file>