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37" w:tblpY="-2806"/>
        <w:tblW w:w="4113" w:type="dxa"/>
        <w:shd w:val="clear" w:color="auto" w:fill="E0E0E0"/>
        <w:tblLayout w:type="fixed"/>
        <w:tblLook w:val="01E0"/>
      </w:tblPr>
      <w:tblGrid>
        <w:gridCol w:w="534"/>
        <w:gridCol w:w="519"/>
        <w:gridCol w:w="1035"/>
        <w:gridCol w:w="1800"/>
        <w:gridCol w:w="225"/>
      </w:tblGrid>
      <w:tr w:rsidR="00BE3940" w:rsidRPr="00F57D27">
        <w:trPr>
          <w:gridAfter w:val="1"/>
          <w:wAfter w:w="225" w:type="dxa"/>
          <w:trHeight w:val="284"/>
        </w:trPr>
        <w:tc>
          <w:tcPr>
            <w:tcW w:w="534" w:type="dxa"/>
          </w:tcPr>
          <w:p w:rsidR="00BE3940" w:rsidRPr="00F57D27" w:rsidRDefault="00A422E1" w:rsidP="00BE3940">
            <w:pPr>
              <w:rPr>
                <w:rFonts w:eastAsia="楷体_GB2312"/>
                <w:b/>
                <w:color w:val="003366"/>
                <w:sz w:val="24"/>
              </w:rPr>
            </w:pPr>
            <w:r>
              <w:rPr>
                <w:rFonts w:eastAsia="楷体_GB2312" w:hint="eastAsia"/>
                <w:b/>
                <w:color w:val="003366"/>
                <w:sz w:val="24"/>
              </w:rPr>
              <w:t>给你</w:t>
            </w:r>
          </w:p>
        </w:tc>
        <w:tc>
          <w:tcPr>
            <w:tcW w:w="1554" w:type="dxa"/>
            <w:gridSpan w:val="2"/>
          </w:tcPr>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tc>
        <w:tc>
          <w:tcPr>
            <w:tcW w:w="1800" w:type="dxa"/>
            <w:vAlign w:val="center"/>
          </w:tcPr>
          <w:p w:rsidR="00BE3940" w:rsidRPr="00F57D27" w:rsidRDefault="00292759" w:rsidP="00BE3940">
            <w:pPr>
              <w:rPr>
                <w:rFonts w:eastAsia="楷体_GB2312"/>
                <w:b/>
                <w:color w:val="003366"/>
                <w:sz w:val="24"/>
              </w:rPr>
            </w:pPr>
            <w:r w:rsidRPr="00292759">
              <w:rPr>
                <w:rFonts w:ascii="黑体" w:eastAsia="黑体" w:hAnsi="宋体"/>
                <w:b/>
                <w:noProof/>
                <w:color w:val="003366"/>
                <w:sz w:val="24"/>
              </w:rPr>
              <w:pict>
                <v:shapetype id="_x0000_t202" coordsize="21600,21600" o:spt="202" path="m,l,21600r21600,l21600,xe">
                  <v:stroke joinstyle="miter"/>
                  <v:path gradientshapeok="t" o:connecttype="rect"/>
                </v:shapetype>
                <v:shape id="_x0000_s1033" type="#_x0000_t202" style="position:absolute;left:0;text-align:left;margin-left:66.6pt;margin-top:-.05pt;width:428.4pt;height:31.2pt;z-index:251657728;mso-position-horizontal-relative:text;mso-position-vertical-relative:text" fillcolor="#f00000" stroked="f">
                  <v:textbox style="mso-next-textbox:#_x0000_s1033">
                    <w:txbxContent>
                      <w:p w:rsidR="00DC2903" w:rsidRPr="00FC770C" w:rsidRDefault="00DC2903" w:rsidP="00BE3940">
                        <w:pPr>
                          <w:ind w:firstLine="281"/>
                          <w:rPr>
                            <w:rFonts w:ascii="楷体_GB2312" w:eastAsia="楷体_GB2312" w:hAnsi="宋体-18030" w:cs="宋体-18030"/>
                            <w:b/>
                            <w:color w:val="FFFFFF"/>
                            <w:sz w:val="28"/>
                            <w:szCs w:val="28"/>
                          </w:rPr>
                        </w:pPr>
                        <w:r>
                          <w:rPr>
                            <w:rFonts w:ascii="楷体_GB2312" w:eastAsia="楷体_GB2312" w:hAnsi="宋体-18030" w:cs="宋体-18030" w:hint="eastAsia"/>
                            <w:b/>
                            <w:color w:val="FFFFFF"/>
                            <w:sz w:val="28"/>
                            <w:szCs w:val="28"/>
                          </w:rPr>
                          <w:t xml:space="preserve">                        </w:t>
                        </w:r>
                        <w:r w:rsidRPr="00FC770C">
                          <w:rPr>
                            <w:rFonts w:ascii="楷体_GB2312" w:eastAsia="楷体_GB2312" w:hAnsi="宋体-18030" w:cs="宋体-18030" w:hint="eastAsia"/>
                            <w:b/>
                            <w:color w:val="FFFFFF"/>
                            <w:sz w:val="28"/>
                            <w:szCs w:val="28"/>
                          </w:rPr>
                          <w:t>证券投资基金研究报告/ 基金策略</w:t>
                        </w:r>
                      </w:p>
                    </w:txbxContent>
                  </v:textbox>
                </v:shape>
              </w:pict>
            </w:r>
          </w:p>
        </w:tc>
      </w:tr>
      <w:tr w:rsidR="00BE3940" w:rsidRPr="00F57D27">
        <w:trPr>
          <w:gridAfter w:val="1"/>
          <w:wAfter w:w="225" w:type="dxa"/>
          <w:trHeight w:val="284"/>
        </w:trPr>
        <w:tc>
          <w:tcPr>
            <w:tcW w:w="534" w:type="dxa"/>
            <w:shd w:val="clear" w:color="auto" w:fill="CDD7FA"/>
          </w:tcPr>
          <w:p w:rsidR="00BE3940" w:rsidRPr="00F57D27" w:rsidRDefault="00BE3940" w:rsidP="00BE3940">
            <w:pPr>
              <w:rPr>
                <w:rFonts w:eastAsia="楷体_GB2312"/>
                <w:b/>
                <w:color w:val="003366"/>
                <w:sz w:val="24"/>
              </w:rPr>
            </w:pPr>
          </w:p>
        </w:tc>
        <w:tc>
          <w:tcPr>
            <w:tcW w:w="3354" w:type="dxa"/>
            <w:gridSpan w:val="3"/>
            <w:shd w:val="clear" w:color="auto" w:fill="CDD7FA"/>
            <w:vAlign w:val="center"/>
          </w:tcPr>
          <w:p w:rsidR="00BE3940" w:rsidRPr="00F57D27" w:rsidRDefault="00BE3940" w:rsidP="00BE3940">
            <w:pPr>
              <w:rPr>
                <w:rFonts w:eastAsia="楷体_GB2312"/>
                <w:b/>
                <w:color w:val="003366"/>
                <w:sz w:val="24"/>
              </w:rPr>
            </w:pPr>
          </w:p>
        </w:tc>
      </w:tr>
      <w:tr w:rsidR="00BE3940" w:rsidRPr="00F57D27">
        <w:trPr>
          <w:gridAfter w:val="1"/>
          <w:wAfter w:w="225" w:type="dxa"/>
          <w:trHeight w:val="284"/>
        </w:trPr>
        <w:tc>
          <w:tcPr>
            <w:tcW w:w="534" w:type="dxa"/>
            <w:shd w:val="clear" w:color="auto" w:fill="CDD7FA"/>
          </w:tcPr>
          <w:p w:rsidR="00BE3940" w:rsidRPr="00F57D27" w:rsidRDefault="00632D04" w:rsidP="00BE3940">
            <w:pPr>
              <w:rPr>
                <w:rFonts w:eastAsia="楷体_GB2312"/>
                <w:b/>
                <w:color w:val="003366"/>
                <w:sz w:val="24"/>
              </w:rPr>
            </w:pPr>
            <w:r>
              <w:rPr>
                <w:rFonts w:eastAsia="楷体_GB2312" w:hint="eastAsia"/>
                <w:noProof/>
                <w:sz w:val="24"/>
              </w:rPr>
              <w:drawing>
                <wp:anchor distT="0" distB="0" distL="114300" distR="114300" simplePos="0" relativeHeight="251658752" behindDoc="0" locked="0" layoutInCell="1" allowOverlap="1">
                  <wp:simplePos x="0" y="0"/>
                  <wp:positionH relativeFrom="column">
                    <wp:posOffset>226695</wp:posOffset>
                  </wp:positionH>
                  <wp:positionV relativeFrom="paragraph">
                    <wp:posOffset>-3810</wp:posOffset>
                  </wp:positionV>
                  <wp:extent cx="1714500" cy="814705"/>
                  <wp:effectExtent l="0" t="0" r="0" b="0"/>
                  <wp:wrapNone/>
                  <wp:docPr id="1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clrChange>
                              <a:clrFrom>
                                <a:srgbClr val="D2D2FF"/>
                              </a:clrFrom>
                              <a:clrTo>
                                <a:srgbClr val="D2D2FF">
                                  <a:alpha val="0"/>
                                </a:srgbClr>
                              </a:clrTo>
                            </a:clrChange>
                          </a:blip>
                          <a:srcRect/>
                          <a:stretch>
                            <a:fillRect/>
                          </a:stretch>
                        </pic:blipFill>
                        <pic:spPr bwMode="auto">
                          <a:xfrm>
                            <a:off x="0" y="0"/>
                            <a:ext cx="1714500" cy="814705"/>
                          </a:xfrm>
                          <a:prstGeom prst="rect">
                            <a:avLst/>
                          </a:prstGeom>
                          <a:noFill/>
                          <a:ln w="9525">
                            <a:noFill/>
                            <a:miter lim="800000"/>
                            <a:headEnd/>
                            <a:tailEnd/>
                          </a:ln>
                        </pic:spPr>
                      </pic:pic>
                    </a:graphicData>
                  </a:graphic>
                </wp:anchor>
              </w:drawing>
            </w:r>
          </w:p>
        </w:tc>
        <w:tc>
          <w:tcPr>
            <w:tcW w:w="3354" w:type="dxa"/>
            <w:gridSpan w:val="3"/>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val="940"/>
        </w:trPr>
        <w:tc>
          <w:tcPr>
            <w:tcW w:w="534" w:type="dxa"/>
            <w:shd w:val="clear" w:color="auto" w:fill="CDD7FA"/>
          </w:tcPr>
          <w:p w:rsidR="00BE3940" w:rsidRPr="00F57D27" w:rsidRDefault="00BE3940" w:rsidP="00BE3940">
            <w:pPr>
              <w:rPr>
                <w:rFonts w:eastAsia="楷体_GB2312"/>
                <w:b/>
                <w:color w:val="003366"/>
                <w:sz w:val="24"/>
              </w:rPr>
            </w:pPr>
          </w:p>
        </w:tc>
        <w:tc>
          <w:tcPr>
            <w:tcW w:w="3354" w:type="dxa"/>
            <w:gridSpan w:val="3"/>
            <w:shd w:val="clear" w:color="auto" w:fill="CDD7FA"/>
          </w:tcPr>
          <w:p w:rsidR="00BE3940" w:rsidRPr="00F57D27" w:rsidRDefault="00BE3940" w:rsidP="00BE3940">
            <w:pPr>
              <w:spacing w:line="360" w:lineRule="auto"/>
              <w:rPr>
                <w:rFonts w:eastAsia="楷体_GB2312"/>
                <w:noProof/>
                <w:sz w:val="24"/>
              </w:rPr>
            </w:pPr>
          </w:p>
        </w:tc>
      </w:tr>
      <w:tr w:rsidR="00BE3940" w:rsidRPr="00F57D27">
        <w:trPr>
          <w:gridAfter w:val="1"/>
          <w:wAfter w:w="225" w:type="dxa"/>
          <w:trHeight w:hRule="exact" w:val="284"/>
        </w:trPr>
        <w:tc>
          <w:tcPr>
            <w:tcW w:w="534" w:type="dxa"/>
            <w:shd w:val="clear" w:color="auto" w:fill="CDD7FA"/>
          </w:tcPr>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tc>
        <w:tc>
          <w:tcPr>
            <w:tcW w:w="519" w:type="dxa"/>
            <w:shd w:val="clear" w:color="auto" w:fill="CDD7FA"/>
          </w:tcPr>
          <w:p w:rsidR="00BE3940" w:rsidRPr="00F57D27" w:rsidRDefault="00BE3940" w:rsidP="00BE3940">
            <w:pPr>
              <w:jc w:val="left"/>
              <w:rPr>
                <w:rFonts w:eastAsia="楷体_GB2312"/>
                <w:b/>
                <w:color w:val="003366"/>
                <w:sz w:val="24"/>
              </w:rPr>
            </w:pPr>
          </w:p>
        </w:tc>
        <w:tc>
          <w:tcPr>
            <w:tcW w:w="2835" w:type="dxa"/>
            <w:gridSpan w:val="2"/>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284"/>
        </w:trPr>
        <w:tc>
          <w:tcPr>
            <w:tcW w:w="534" w:type="dxa"/>
            <w:shd w:val="clear" w:color="auto" w:fill="CDD7FA"/>
          </w:tcPr>
          <w:p w:rsidR="00BE3940" w:rsidRPr="00F57D27" w:rsidRDefault="00BE3940" w:rsidP="00BE3940">
            <w:pPr>
              <w:rPr>
                <w:rFonts w:eastAsia="楷体_GB2312"/>
                <w:b/>
                <w:color w:val="003366"/>
                <w:sz w:val="24"/>
              </w:rPr>
            </w:pPr>
          </w:p>
        </w:tc>
        <w:tc>
          <w:tcPr>
            <w:tcW w:w="519" w:type="dxa"/>
            <w:shd w:val="clear" w:color="auto" w:fill="CDD7FA"/>
          </w:tcPr>
          <w:p w:rsidR="00BE3940" w:rsidRPr="00F57D27" w:rsidRDefault="00BE3940" w:rsidP="00BE3940">
            <w:pPr>
              <w:jc w:val="left"/>
              <w:rPr>
                <w:rFonts w:eastAsia="楷体_GB2312"/>
                <w:b/>
                <w:color w:val="003366"/>
                <w:sz w:val="24"/>
              </w:rPr>
            </w:pPr>
          </w:p>
        </w:tc>
        <w:tc>
          <w:tcPr>
            <w:tcW w:w="2835" w:type="dxa"/>
            <w:gridSpan w:val="2"/>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284"/>
        </w:trPr>
        <w:tc>
          <w:tcPr>
            <w:tcW w:w="534" w:type="dxa"/>
            <w:shd w:val="clear" w:color="auto" w:fill="CDD7FA"/>
          </w:tcPr>
          <w:p w:rsidR="00BE3940" w:rsidRPr="00F57D27" w:rsidRDefault="00BE3940" w:rsidP="00BE3940">
            <w:pPr>
              <w:rPr>
                <w:rFonts w:eastAsia="楷体_GB2312"/>
                <w:b/>
                <w:color w:val="003366"/>
                <w:sz w:val="24"/>
              </w:rPr>
            </w:pPr>
          </w:p>
        </w:tc>
        <w:tc>
          <w:tcPr>
            <w:tcW w:w="519" w:type="dxa"/>
            <w:shd w:val="clear" w:color="auto" w:fill="CDD7FA"/>
          </w:tcPr>
          <w:p w:rsidR="00BE3940" w:rsidRPr="00F57D27" w:rsidRDefault="00BE3940" w:rsidP="00BE3940">
            <w:pPr>
              <w:jc w:val="left"/>
              <w:rPr>
                <w:rFonts w:eastAsia="楷体_GB2312"/>
                <w:b/>
                <w:color w:val="003366"/>
                <w:sz w:val="24"/>
              </w:rPr>
            </w:pPr>
          </w:p>
        </w:tc>
        <w:tc>
          <w:tcPr>
            <w:tcW w:w="2835" w:type="dxa"/>
            <w:gridSpan w:val="2"/>
            <w:shd w:val="clear" w:color="auto" w:fill="CDD7FA"/>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80"/>
        </w:trPr>
        <w:tc>
          <w:tcPr>
            <w:tcW w:w="534" w:type="dxa"/>
            <w:shd w:val="clear" w:color="auto" w:fill="CDD7FA"/>
          </w:tcPr>
          <w:p w:rsidR="00BE3940" w:rsidRPr="00F57D27" w:rsidRDefault="00BE3940" w:rsidP="00BE3940">
            <w:pPr>
              <w:rPr>
                <w:rFonts w:eastAsia="楷体_GB2312"/>
                <w:b/>
                <w:color w:val="003366"/>
                <w:sz w:val="24"/>
              </w:rPr>
            </w:pPr>
          </w:p>
        </w:tc>
        <w:tc>
          <w:tcPr>
            <w:tcW w:w="3354" w:type="dxa"/>
            <w:gridSpan w:val="3"/>
            <w:shd w:val="clear" w:color="auto" w:fill="CDD7FA"/>
          </w:tcPr>
          <w:p w:rsidR="00BE3940" w:rsidRPr="00F57D27" w:rsidRDefault="00BE3940" w:rsidP="00BE3940">
            <w:pPr>
              <w:jc w:val="left"/>
              <w:rPr>
                <w:rFonts w:eastAsia="楷体_GB2312"/>
                <w:b/>
                <w:color w:val="003366"/>
                <w:sz w:val="24"/>
              </w:rPr>
            </w:pPr>
          </w:p>
        </w:tc>
      </w:tr>
      <w:tr w:rsidR="00BE3940" w:rsidRPr="00F57D27">
        <w:trPr>
          <w:trHeight w:hRule="exact" w:val="284"/>
        </w:trPr>
        <w:tc>
          <w:tcPr>
            <w:tcW w:w="534" w:type="dxa"/>
          </w:tcPr>
          <w:p w:rsidR="00BE3940" w:rsidRPr="00F57D27" w:rsidRDefault="00BE3940" w:rsidP="00BE3940">
            <w:pPr>
              <w:rPr>
                <w:rFonts w:eastAsia="楷体_GB2312"/>
                <w:b/>
                <w:color w:val="003366"/>
                <w:sz w:val="24"/>
              </w:rPr>
            </w:pPr>
          </w:p>
        </w:tc>
        <w:tc>
          <w:tcPr>
            <w:tcW w:w="519" w:type="dxa"/>
          </w:tcPr>
          <w:p w:rsidR="00BE3940" w:rsidRPr="00F57D27" w:rsidRDefault="00BE3940" w:rsidP="00BE3940">
            <w:pPr>
              <w:jc w:val="left"/>
              <w:rPr>
                <w:rFonts w:eastAsia="楷体_GB2312"/>
                <w:b/>
                <w:color w:val="003366"/>
                <w:sz w:val="24"/>
              </w:rPr>
            </w:pPr>
          </w:p>
        </w:tc>
        <w:tc>
          <w:tcPr>
            <w:tcW w:w="3060" w:type="dxa"/>
            <w:gridSpan w:val="3"/>
          </w:tcPr>
          <w:p w:rsidR="00BE3940" w:rsidRPr="00F57D27" w:rsidRDefault="00BE3940" w:rsidP="00BE3940">
            <w:pPr>
              <w:rPr>
                <w:rFonts w:eastAsia="楷体_GB2312"/>
                <w:b/>
                <w:color w:val="003366"/>
                <w:sz w:val="24"/>
              </w:rPr>
            </w:pPr>
          </w:p>
        </w:tc>
      </w:tr>
      <w:tr w:rsidR="00BE3940" w:rsidRPr="00F57D27">
        <w:trPr>
          <w:gridAfter w:val="1"/>
          <w:wAfter w:w="225" w:type="dxa"/>
          <w:trHeight w:hRule="exact" w:val="284"/>
        </w:trPr>
        <w:tc>
          <w:tcPr>
            <w:tcW w:w="534" w:type="dxa"/>
          </w:tcPr>
          <w:p w:rsidR="00BE3940" w:rsidRPr="00F57D27" w:rsidRDefault="00BE3940" w:rsidP="00BE3940">
            <w:pPr>
              <w:rPr>
                <w:rFonts w:eastAsia="楷体_GB2312"/>
                <w:b/>
                <w:color w:val="003366"/>
                <w:sz w:val="24"/>
              </w:rPr>
            </w:pPr>
          </w:p>
        </w:tc>
        <w:tc>
          <w:tcPr>
            <w:tcW w:w="3354" w:type="dxa"/>
            <w:gridSpan w:val="3"/>
          </w:tcPr>
          <w:p w:rsidR="00BE3940" w:rsidRPr="00F57D27" w:rsidRDefault="00BE3940" w:rsidP="00BE3940">
            <w:pPr>
              <w:jc w:val="center"/>
              <w:rPr>
                <w:rFonts w:eastAsia="黑体"/>
                <w:color w:val="003366"/>
                <w:sz w:val="24"/>
              </w:rPr>
            </w:pPr>
          </w:p>
        </w:tc>
      </w:tr>
      <w:tr w:rsidR="00BE3940" w:rsidRPr="00F57D27">
        <w:trPr>
          <w:gridAfter w:val="1"/>
          <w:wAfter w:w="225" w:type="dxa"/>
          <w:trHeight w:val="457"/>
        </w:trPr>
        <w:tc>
          <w:tcPr>
            <w:tcW w:w="534" w:type="dxa"/>
          </w:tcPr>
          <w:p w:rsidR="00BE3940" w:rsidRPr="00D82E82" w:rsidRDefault="00BE3940" w:rsidP="00BE3940">
            <w:pPr>
              <w:rPr>
                <w:rFonts w:eastAsia="楷体_GB2312"/>
                <w:b/>
                <w:color w:val="003366"/>
              </w:rPr>
            </w:pPr>
          </w:p>
        </w:tc>
        <w:tc>
          <w:tcPr>
            <w:tcW w:w="3354" w:type="dxa"/>
            <w:gridSpan w:val="3"/>
          </w:tcPr>
          <w:p w:rsidR="00BE3940" w:rsidRPr="00CD7632" w:rsidRDefault="006D7EFB" w:rsidP="000129DA">
            <w:pPr>
              <w:spacing w:line="360" w:lineRule="auto"/>
              <w:ind w:left="-288" w:firstLineChars="150" w:firstLine="315"/>
              <w:jc w:val="left"/>
              <w:rPr>
                <w:rFonts w:eastAsia="楷体_GB2312"/>
                <w:color w:val="003366"/>
                <w:szCs w:val="21"/>
              </w:rPr>
            </w:pPr>
            <w:r w:rsidRPr="00CD7632">
              <w:rPr>
                <w:rFonts w:eastAsia="楷体_GB2312" w:hint="eastAsia"/>
                <w:color w:val="003366"/>
                <w:szCs w:val="21"/>
              </w:rPr>
              <w:t>2</w:t>
            </w:r>
            <w:r w:rsidRPr="00CD7632">
              <w:rPr>
                <w:rFonts w:eastAsia="黑体" w:hint="eastAsia"/>
                <w:b/>
                <w:color w:val="003366"/>
                <w:szCs w:val="21"/>
              </w:rPr>
              <w:t>01</w:t>
            </w:r>
            <w:r w:rsidR="007F5689">
              <w:rPr>
                <w:rFonts w:eastAsia="黑体" w:hint="eastAsia"/>
                <w:b/>
                <w:color w:val="003366"/>
                <w:szCs w:val="21"/>
              </w:rPr>
              <w:t>4</w:t>
            </w:r>
            <w:r w:rsidRPr="00CD7632">
              <w:rPr>
                <w:rFonts w:eastAsia="黑体" w:hint="eastAsia"/>
                <w:b/>
                <w:color w:val="003366"/>
                <w:szCs w:val="21"/>
              </w:rPr>
              <w:t>年</w:t>
            </w:r>
            <w:r w:rsidR="000129DA">
              <w:rPr>
                <w:rFonts w:eastAsia="黑体" w:hint="eastAsia"/>
                <w:b/>
                <w:color w:val="003366"/>
                <w:szCs w:val="21"/>
              </w:rPr>
              <w:t>3</w:t>
            </w:r>
            <w:r w:rsidR="009B7304" w:rsidRPr="00CD7632">
              <w:rPr>
                <w:rFonts w:eastAsia="黑体" w:hint="eastAsia"/>
                <w:b/>
                <w:color w:val="003366"/>
                <w:szCs w:val="21"/>
              </w:rPr>
              <w:t>月基金业绩</w:t>
            </w:r>
            <w:r w:rsidR="00BE2BA3" w:rsidRPr="00CD7632">
              <w:rPr>
                <w:rFonts w:eastAsia="黑体" w:hint="eastAsia"/>
                <w:b/>
                <w:color w:val="003366"/>
                <w:szCs w:val="21"/>
              </w:rPr>
              <w:t>统计</w:t>
            </w:r>
            <w:r w:rsidR="009B7304" w:rsidRPr="00CD7632">
              <w:rPr>
                <w:rFonts w:eastAsia="黑体" w:hint="eastAsia"/>
                <w:b/>
                <w:color w:val="003366"/>
                <w:szCs w:val="21"/>
              </w:rPr>
              <w:t>分布</w:t>
            </w:r>
          </w:p>
        </w:tc>
      </w:tr>
      <w:tr w:rsidR="00BE3940" w:rsidRPr="00F57D27" w:rsidTr="007F6739">
        <w:trPr>
          <w:gridAfter w:val="1"/>
          <w:wAfter w:w="225" w:type="dxa"/>
          <w:trHeight w:val="284"/>
        </w:trPr>
        <w:tc>
          <w:tcPr>
            <w:tcW w:w="534" w:type="dxa"/>
          </w:tcPr>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p w:rsidR="00BE3940" w:rsidRPr="00F57D27" w:rsidRDefault="00BE3940" w:rsidP="00BE3940">
            <w:pPr>
              <w:rPr>
                <w:rFonts w:eastAsia="楷体_GB2312"/>
                <w:b/>
                <w:color w:val="003366"/>
                <w:sz w:val="24"/>
              </w:rPr>
            </w:pPr>
          </w:p>
        </w:tc>
        <w:tc>
          <w:tcPr>
            <w:tcW w:w="3354" w:type="dxa"/>
            <w:gridSpan w:val="3"/>
            <w:vAlign w:val="center"/>
          </w:tcPr>
          <w:p w:rsidR="00BE3940" w:rsidRPr="00CD7632" w:rsidRDefault="007F6739" w:rsidP="009F1D47">
            <w:pPr>
              <w:ind w:leftChars="-51" w:rightChars="34" w:right="71" w:hangingChars="51" w:hanging="107"/>
              <w:rPr>
                <w:noProof/>
              </w:rPr>
            </w:pPr>
            <w:r>
              <w:rPr>
                <w:noProof/>
              </w:rPr>
              <w:drawing>
                <wp:inline distT="0" distB="0" distL="0" distR="0">
                  <wp:extent cx="1995805" cy="1550670"/>
                  <wp:effectExtent l="19050" t="0" r="444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95805" cy="1550670"/>
                          </a:xfrm>
                          <a:prstGeom prst="rect">
                            <a:avLst/>
                          </a:prstGeom>
                          <a:noFill/>
                          <a:ln w="9525">
                            <a:noFill/>
                            <a:miter lim="800000"/>
                            <a:headEnd/>
                            <a:tailEnd/>
                          </a:ln>
                        </pic:spPr>
                      </pic:pic>
                    </a:graphicData>
                  </a:graphic>
                </wp:inline>
              </w:drawing>
            </w: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p w:rsidR="00D82E82" w:rsidRPr="00CD7632" w:rsidRDefault="00CE1D49" w:rsidP="001A459A">
            <w:pPr>
              <w:rPr>
                <w:rFonts w:eastAsia="楷体_GB2312"/>
                <w:color w:val="003366"/>
                <w:sz w:val="18"/>
                <w:szCs w:val="18"/>
              </w:rPr>
            </w:pPr>
            <w:r w:rsidRPr="00CD7632">
              <w:rPr>
                <w:rFonts w:eastAsia="楷体_GB2312" w:hint="eastAsia"/>
                <w:color w:val="003366"/>
                <w:sz w:val="18"/>
                <w:szCs w:val="18"/>
              </w:rPr>
              <w:t>注：不包括结构化份额</w:t>
            </w:r>
          </w:p>
          <w:p w:rsidR="00CE1D49" w:rsidRPr="00CD7632" w:rsidRDefault="00CE1D49" w:rsidP="001A459A">
            <w:pPr>
              <w:rPr>
                <w:rFonts w:eastAsia="楷体_GB2312"/>
                <w:b/>
                <w:color w:val="003366"/>
              </w:rPr>
            </w:pPr>
          </w:p>
          <w:p w:rsidR="00D6400F" w:rsidRPr="00CD7632" w:rsidRDefault="00D6400F" w:rsidP="001A459A">
            <w:pPr>
              <w:rPr>
                <w:rFonts w:eastAsia="楷体_GB2312"/>
                <w:b/>
                <w:color w:val="003366"/>
              </w:rPr>
            </w:pPr>
            <w:r w:rsidRPr="00CD7632">
              <w:rPr>
                <w:rFonts w:eastAsia="楷体_GB2312" w:hint="eastAsia"/>
                <w:b/>
                <w:color w:val="003366"/>
              </w:rPr>
              <w:t>上海证券基金评价研究中心</w:t>
            </w:r>
          </w:p>
          <w:p w:rsidR="001A459A" w:rsidRPr="00CD7632" w:rsidRDefault="00B70D0C" w:rsidP="001A459A">
            <w:pPr>
              <w:rPr>
                <w:rFonts w:eastAsia="楷体_GB2312"/>
                <w:b/>
                <w:color w:val="003366"/>
              </w:rPr>
            </w:pPr>
            <w:r w:rsidRPr="00CD7632">
              <w:rPr>
                <w:rFonts w:eastAsia="楷体_GB2312" w:hint="eastAsia"/>
                <w:b/>
                <w:color w:val="003366"/>
              </w:rPr>
              <w:t>刘亦千</w:t>
            </w:r>
          </w:p>
          <w:p w:rsidR="00661078" w:rsidRPr="00CD7632" w:rsidRDefault="00693B26" w:rsidP="001A459A">
            <w:pPr>
              <w:rPr>
                <w:rFonts w:eastAsia="楷体_GB2312"/>
                <w:color w:val="003366"/>
              </w:rPr>
            </w:pPr>
            <w:r w:rsidRPr="00CD7632">
              <w:rPr>
                <w:rFonts w:eastAsia="楷体_GB2312" w:hint="eastAsia"/>
                <w:color w:val="003366"/>
              </w:rPr>
              <w:t>执业</w:t>
            </w:r>
            <w:r w:rsidR="00661078" w:rsidRPr="00CD7632">
              <w:rPr>
                <w:rFonts w:eastAsia="楷体_GB2312" w:hint="eastAsia"/>
                <w:color w:val="003366"/>
              </w:rPr>
              <w:t>证书编号：</w:t>
            </w:r>
            <w:r w:rsidR="004548AB" w:rsidRPr="00CD7632">
              <w:rPr>
                <w:rFonts w:eastAsia="楷体_GB2312"/>
                <w:b/>
                <w:color w:val="003366"/>
                <w:sz w:val="24"/>
              </w:rPr>
              <w:t>S0870511040001</w:t>
            </w: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p w:rsidR="001A459A" w:rsidRPr="00D82E82" w:rsidRDefault="001A459A" w:rsidP="00F95DC4">
            <w:pPr>
              <w:rPr>
                <w:rFonts w:eastAsia="楷体_GB2312"/>
                <w:b/>
                <w:color w:val="003366"/>
              </w:rPr>
            </w:pPr>
            <w:r w:rsidRPr="00F95DC4">
              <w:rPr>
                <w:rFonts w:eastAsia="楷体_GB2312"/>
                <w:b/>
                <w:color w:val="003366"/>
                <w:sz w:val="24"/>
              </w:rPr>
              <w:t>021-</w:t>
            </w:r>
            <w:r w:rsidRPr="00F95DC4">
              <w:rPr>
                <w:rFonts w:eastAsia="楷体_GB2312" w:hint="eastAsia"/>
                <w:b/>
                <w:color w:val="003366"/>
                <w:sz w:val="24"/>
              </w:rPr>
              <w:t>53519888</w:t>
            </w:r>
            <w:r w:rsidRPr="00F95DC4">
              <w:rPr>
                <w:rFonts w:hint="eastAsia"/>
              </w:rPr>
              <w:t>-</w:t>
            </w:r>
            <w:r w:rsidRPr="00F95DC4">
              <w:rPr>
                <w:rFonts w:eastAsia="楷体_GB2312" w:hint="eastAsia"/>
                <w:b/>
                <w:color w:val="003366"/>
                <w:sz w:val="24"/>
              </w:rPr>
              <w:t>19</w:t>
            </w:r>
            <w:r w:rsidR="00096A58" w:rsidRPr="00F95DC4">
              <w:rPr>
                <w:rFonts w:eastAsia="楷体_GB2312" w:hint="eastAsia"/>
                <w:b/>
                <w:color w:val="003366"/>
                <w:sz w:val="24"/>
              </w:rPr>
              <w:t>88</w:t>
            </w: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p w:rsidR="00693B26" w:rsidRDefault="00EF283B" w:rsidP="00693B26">
            <w:r w:rsidRPr="00FC770C">
              <w:rPr>
                <w:rFonts w:eastAsia="楷体_GB2312" w:hint="eastAsia"/>
                <w:b/>
                <w:bCs/>
                <w:color w:val="003365"/>
                <w:kern w:val="0"/>
                <w:sz w:val="24"/>
              </w:rPr>
              <w:t>Liuyiqian</w:t>
            </w:r>
            <w:r w:rsidRPr="00FC770C">
              <w:rPr>
                <w:rFonts w:eastAsia="楷体_GB2312"/>
                <w:b/>
                <w:bCs/>
                <w:color w:val="003365"/>
                <w:kern w:val="0"/>
                <w:sz w:val="24"/>
              </w:rPr>
              <w:t>@</w:t>
            </w:r>
            <w:r w:rsidR="00455952">
              <w:rPr>
                <w:rFonts w:eastAsia="楷体_GB2312" w:hint="eastAsia"/>
                <w:b/>
                <w:bCs/>
                <w:color w:val="003365"/>
                <w:kern w:val="0"/>
                <w:sz w:val="24"/>
              </w:rPr>
              <w:t>shzq</w:t>
            </w:r>
            <w:r w:rsidRPr="00FC770C">
              <w:rPr>
                <w:rFonts w:eastAsia="楷体_GB2312"/>
                <w:b/>
                <w:bCs/>
                <w:color w:val="003365"/>
                <w:kern w:val="0"/>
                <w:sz w:val="24"/>
              </w:rPr>
              <w:t>.com</w:t>
            </w:r>
          </w:p>
          <w:p w:rsidR="001A459A" w:rsidRPr="00F57D27" w:rsidRDefault="001A459A" w:rsidP="001A459A">
            <w:pPr>
              <w:rPr>
                <w:rFonts w:eastAsia="楷体_GB2312"/>
                <w:b/>
                <w:color w:val="003366"/>
                <w:sz w:val="24"/>
              </w:rPr>
            </w:pP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p w:rsidR="001A459A" w:rsidRPr="00F57D27" w:rsidRDefault="001A459A" w:rsidP="001A459A">
            <w:pPr>
              <w:rPr>
                <w:rFonts w:eastAsia="楷体_GB2312"/>
                <w:b/>
                <w:color w:val="003366"/>
                <w:sz w:val="24"/>
              </w:rPr>
            </w:pPr>
          </w:p>
          <w:p w:rsidR="001A459A" w:rsidRPr="00F57D27" w:rsidRDefault="001A459A" w:rsidP="001A459A">
            <w:pPr>
              <w:rPr>
                <w:rFonts w:eastAsia="楷体_GB2312"/>
                <w:b/>
                <w:color w:val="003366"/>
                <w:sz w:val="24"/>
              </w:rPr>
            </w:pPr>
          </w:p>
        </w:tc>
        <w:tc>
          <w:tcPr>
            <w:tcW w:w="3354" w:type="dxa"/>
            <w:gridSpan w:val="3"/>
          </w:tcPr>
          <w:p w:rsidR="001A459A" w:rsidRPr="0077785C" w:rsidRDefault="001A459A" w:rsidP="001A459A">
            <w:pPr>
              <w:rPr>
                <w:rFonts w:eastAsia="楷体_GB2312"/>
                <w:color w:val="003366"/>
                <w:sz w:val="24"/>
              </w:rPr>
            </w:pPr>
          </w:p>
        </w:tc>
      </w:tr>
      <w:tr w:rsidR="001A459A" w:rsidRPr="00F57D27">
        <w:trPr>
          <w:gridAfter w:val="1"/>
          <w:wAfter w:w="225" w:type="dxa"/>
          <w:trHeight w:val="284"/>
        </w:trPr>
        <w:tc>
          <w:tcPr>
            <w:tcW w:w="534" w:type="dxa"/>
          </w:tcPr>
          <w:p w:rsidR="001A459A" w:rsidRPr="00F57D27" w:rsidRDefault="001A459A" w:rsidP="001A459A">
            <w:pPr>
              <w:rPr>
                <w:rFonts w:eastAsia="楷体_GB2312"/>
                <w:b/>
                <w:color w:val="003366"/>
                <w:sz w:val="24"/>
              </w:rPr>
            </w:pPr>
          </w:p>
        </w:tc>
        <w:tc>
          <w:tcPr>
            <w:tcW w:w="3354" w:type="dxa"/>
            <w:gridSpan w:val="3"/>
          </w:tcPr>
          <w:tbl>
            <w:tblPr>
              <w:tblpPr w:leftFromText="180" w:rightFromText="180" w:vertAnchor="text" w:horzAnchor="page" w:tblpX="37" w:tblpY="-2806"/>
              <w:tblW w:w="3888" w:type="dxa"/>
              <w:shd w:val="clear" w:color="auto" w:fill="E0E0E0"/>
              <w:tblLayout w:type="fixed"/>
              <w:tblLook w:val="01E0"/>
            </w:tblPr>
            <w:tblGrid>
              <w:gridCol w:w="3420"/>
              <w:gridCol w:w="468"/>
            </w:tblGrid>
            <w:tr w:rsidR="001A459A" w:rsidRPr="00F57D27">
              <w:trPr>
                <w:trHeight w:hRule="exact" w:val="284"/>
              </w:trPr>
              <w:tc>
                <w:tcPr>
                  <w:tcW w:w="3888" w:type="dxa"/>
                  <w:gridSpan w:val="2"/>
                </w:tcPr>
                <w:p w:rsidR="001A459A" w:rsidRPr="00B21A03" w:rsidRDefault="001A459A" w:rsidP="001A459A">
                  <w:pPr>
                    <w:pStyle w:val="a8"/>
                    <w:rPr>
                      <w:rFonts w:hAnsi="宋体" w:cs="宋体"/>
                    </w:rPr>
                  </w:pPr>
                  <w:r w:rsidRPr="00F57D27">
                    <w:rPr>
                      <w:rFonts w:eastAsia="黑体"/>
                      <w:b/>
                      <w:color w:val="003366"/>
                      <w:sz w:val="24"/>
                    </w:rPr>
                    <w:t>日期</w:t>
                  </w:r>
                  <w:r w:rsidRPr="00F57D27">
                    <w:rPr>
                      <w:rFonts w:eastAsia="黑体" w:hint="eastAsia"/>
                      <w:b/>
                      <w:color w:val="003366"/>
                      <w:sz w:val="24"/>
                    </w:rPr>
                    <w:t>：</w:t>
                  </w:r>
                  <w:r w:rsidRPr="00B21A03">
                    <w:rPr>
                      <w:rFonts w:hAnsi="宋体" w:cs="宋体"/>
                    </w:rPr>
                    <w:t>201</w:t>
                  </w:r>
                  <w:r w:rsidR="007C7F38">
                    <w:rPr>
                      <w:rFonts w:hAnsi="宋体" w:cs="宋体" w:hint="eastAsia"/>
                    </w:rPr>
                    <w:t>4</w:t>
                  </w:r>
                  <w:r w:rsidRPr="00B21A03">
                    <w:rPr>
                      <w:rFonts w:hAnsi="宋体" w:cs="宋体"/>
                    </w:rPr>
                    <w:t>年</w:t>
                  </w:r>
                  <w:r w:rsidR="006A2A0C">
                    <w:rPr>
                      <w:rFonts w:hAnsi="宋体" w:cs="宋体" w:hint="eastAsia"/>
                    </w:rPr>
                    <w:t>4</w:t>
                  </w:r>
                  <w:r w:rsidRPr="00B21A03">
                    <w:rPr>
                      <w:rFonts w:hAnsi="宋体" w:cs="宋体"/>
                    </w:rPr>
                    <w:t>月</w:t>
                  </w:r>
                  <w:r w:rsidR="006A2A0C">
                    <w:rPr>
                      <w:rFonts w:hAnsi="宋体" w:cs="宋体" w:hint="eastAsia"/>
                    </w:rPr>
                    <w:t>3</w:t>
                  </w:r>
                  <w:r w:rsidRPr="00B21A03">
                    <w:rPr>
                      <w:rFonts w:hAnsi="宋体" w:cs="宋体"/>
                    </w:rPr>
                    <w:t>日</w:t>
                  </w:r>
                </w:p>
                <w:p w:rsidR="001A459A" w:rsidRPr="00F57D27" w:rsidRDefault="001A459A" w:rsidP="001A459A">
                  <w:pPr>
                    <w:jc w:val="left"/>
                    <w:rPr>
                      <w:rFonts w:eastAsia="楷体_GB2312"/>
                      <w:color w:val="003366"/>
                      <w:sz w:val="24"/>
                    </w:rPr>
                  </w:pPr>
                </w:p>
              </w:tc>
            </w:tr>
            <w:tr w:rsidR="001A459A" w:rsidRPr="00F57D27">
              <w:trPr>
                <w:trHeight w:hRule="exact" w:val="284"/>
              </w:trPr>
              <w:tc>
                <w:tcPr>
                  <w:tcW w:w="3888" w:type="dxa"/>
                  <w:gridSpan w:val="2"/>
                </w:tcPr>
                <w:p w:rsidR="001A459A" w:rsidRPr="00F57D27" w:rsidRDefault="001A459A" w:rsidP="001A459A">
                  <w:pPr>
                    <w:rPr>
                      <w:rFonts w:eastAsia="黑体"/>
                      <w:b/>
                      <w:color w:val="003366"/>
                      <w:sz w:val="24"/>
                    </w:rPr>
                  </w:pPr>
                </w:p>
              </w:tc>
            </w:tr>
            <w:tr w:rsidR="001A459A" w:rsidRPr="00F57D27">
              <w:trPr>
                <w:gridAfter w:val="1"/>
                <w:wAfter w:w="468" w:type="dxa"/>
                <w:trHeight w:hRule="exact" w:val="284"/>
              </w:trPr>
              <w:tc>
                <w:tcPr>
                  <w:tcW w:w="3420" w:type="dxa"/>
                </w:tcPr>
                <w:p w:rsidR="001A459A" w:rsidRPr="00F57D27" w:rsidRDefault="001A459A" w:rsidP="001A459A">
                  <w:pPr>
                    <w:rPr>
                      <w:rFonts w:eastAsia="楷体_GB2312"/>
                      <w:sz w:val="24"/>
                    </w:rPr>
                  </w:pPr>
                </w:p>
              </w:tc>
            </w:tr>
            <w:tr w:rsidR="001A459A" w:rsidRPr="00F57D27">
              <w:trPr>
                <w:gridAfter w:val="1"/>
                <w:wAfter w:w="468" w:type="dxa"/>
                <w:trHeight w:hRule="exact" w:val="284"/>
              </w:trPr>
              <w:tc>
                <w:tcPr>
                  <w:tcW w:w="3420" w:type="dxa"/>
                </w:tcPr>
                <w:p w:rsidR="001A459A" w:rsidRPr="00F57D27" w:rsidRDefault="001A459A" w:rsidP="001A459A">
                  <w:pPr>
                    <w:rPr>
                      <w:rFonts w:ascii="黑体" w:eastAsia="黑体"/>
                      <w:b/>
                      <w:color w:val="003366"/>
                      <w:sz w:val="24"/>
                    </w:rPr>
                  </w:pPr>
                  <w:r w:rsidRPr="00F57D27">
                    <w:rPr>
                      <w:rFonts w:eastAsia="黑体" w:hint="eastAsia"/>
                      <w:b/>
                      <w:color w:val="003366"/>
                      <w:sz w:val="24"/>
                    </w:rPr>
                    <w:t>报告编号：</w:t>
                  </w:r>
                </w:p>
              </w:tc>
            </w:tr>
            <w:tr w:rsidR="001A459A" w:rsidRPr="00F57D27">
              <w:trPr>
                <w:gridAfter w:val="1"/>
                <w:wAfter w:w="468" w:type="dxa"/>
                <w:trHeight w:hRule="exact" w:val="284"/>
              </w:trPr>
              <w:tc>
                <w:tcPr>
                  <w:tcW w:w="3420" w:type="dxa"/>
                </w:tcPr>
                <w:p w:rsidR="001A459A" w:rsidRPr="00F57D27" w:rsidRDefault="001A459A" w:rsidP="001A459A">
                  <w:pPr>
                    <w:rPr>
                      <w:rFonts w:eastAsia="楷体_GB2312"/>
                      <w:b/>
                      <w:color w:val="003366"/>
                      <w:sz w:val="24"/>
                    </w:rPr>
                  </w:pPr>
                </w:p>
              </w:tc>
            </w:tr>
            <w:tr w:rsidR="001A459A" w:rsidRPr="00F57D27">
              <w:trPr>
                <w:gridAfter w:val="1"/>
                <w:wAfter w:w="468" w:type="dxa"/>
                <w:trHeight w:hRule="exact" w:val="284"/>
              </w:trPr>
              <w:tc>
                <w:tcPr>
                  <w:tcW w:w="3420" w:type="dxa"/>
                </w:tcPr>
                <w:p w:rsidR="001A459A" w:rsidRPr="00F57D27" w:rsidRDefault="001A459A" w:rsidP="001A459A">
                  <w:pPr>
                    <w:rPr>
                      <w:rFonts w:ascii="黑体" w:eastAsia="黑体"/>
                      <w:b/>
                      <w:color w:val="003366"/>
                      <w:sz w:val="24"/>
                    </w:rPr>
                  </w:pPr>
                  <w:r w:rsidRPr="00F57D27">
                    <w:rPr>
                      <w:rFonts w:eastAsia="黑体" w:hint="eastAsia"/>
                      <w:b/>
                      <w:color w:val="003366"/>
                      <w:sz w:val="24"/>
                    </w:rPr>
                    <w:t>相关报告：</w:t>
                  </w:r>
                </w:p>
              </w:tc>
            </w:tr>
            <w:tr w:rsidR="001A459A" w:rsidRPr="00F57D27" w:rsidTr="00E44B3F">
              <w:trPr>
                <w:gridAfter w:val="1"/>
                <w:wAfter w:w="468" w:type="dxa"/>
                <w:trHeight w:hRule="exact" w:val="2396"/>
              </w:trPr>
              <w:tc>
                <w:tcPr>
                  <w:tcW w:w="3420" w:type="dxa"/>
                </w:tcPr>
                <w:p w:rsidR="006E6E73" w:rsidRDefault="006E6E73" w:rsidP="004647C0">
                  <w:pPr>
                    <w:rPr>
                      <w:rFonts w:eastAsia="楷体_GB2312" w:hint="eastAsia"/>
                      <w:sz w:val="18"/>
                      <w:szCs w:val="18"/>
                    </w:rPr>
                  </w:pPr>
                  <w:r>
                    <w:rPr>
                      <w:rFonts w:eastAsia="楷体_GB2312" w:hint="eastAsia"/>
                      <w:sz w:val="18"/>
                      <w:szCs w:val="18"/>
                    </w:rPr>
                    <w:t>2</w:t>
                  </w:r>
                  <w:r w:rsidRPr="00D46766">
                    <w:rPr>
                      <w:rFonts w:eastAsia="楷体_GB2312" w:hint="eastAsia"/>
                      <w:sz w:val="18"/>
                      <w:szCs w:val="18"/>
                    </w:rPr>
                    <w:t>0</w:t>
                  </w:r>
                  <w:r>
                    <w:rPr>
                      <w:rFonts w:eastAsia="楷体_GB2312" w:hint="eastAsia"/>
                      <w:sz w:val="18"/>
                      <w:szCs w:val="18"/>
                    </w:rPr>
                    <w:t>14</w:t>
                  </w:r>
                  <w:r w:rsidRPr="00D46766">
                    <w:rPr>
                      <w:rFonts w:eastAsia="楷体_GB2312" w:hint="eastAsia"/>
                      <w:sz w:val="18"/>
                      <w:szCs w:val="18"/>
                    </w:rPr>
                    <w:t>年</w:t>
                  </w:r>
                  <w:r>
                    <w:rPr>
                      <w:rFonts w:eastAsia="楷体_GB2312" w:hint="eastAsia"/>
                      <w:sz w:val="18"/>
                      <w:szCs w:val="18"/>
                    </w:rPr>
                    <w:t>3</w:t>
                  </w:r>
                  <w:r w:rsidRPr="00D46766">
                    <w:rPr>
                      <w:rFonts w:eastAsia="楷体_GB2312" w:hint="eastAsia"/>
                      <w:sz w:val="18"/>
                      <w:szCs w:val="18"/>
                    </w:rPr>
                    <w:t>月基金投资策略</w:t>
                  </w:r>
                  <w:r>
                    <w:rPr>
                      <w:rFonts w:eastAsia="楷体_GB2312" w:hint="eastAsia"/>
                      <w:sz w:val="18"/>
                      <w:szCs w:val="18"/>
                    </w:rPr>
                    <w:t>：</w:t>
                  </w:r>
                  <w:r w:rsidRPr="006E6E73">
                    <w:rPr>
                      <w:rFonts w:eastAsia="楷体_GB2312" w:hint="eastAsia"/>
                      <w:sz w:val="18"/>
                      <w:szCs w:val="18"/>
                    </w:rPr>
                    <w:t>市场机会大于风险，蓝筹为主成长为辅配置基金</w:t>
                  </w:r>
                </w:p>
                <w:p w:rsidR="000838AB" w:rsidRDefault="00406215" w:rsidP="004647C0">
                  <w:pPr>
                    <w:rPr>
                      <w:rFonts w:eastAsia="楷体_GB2312"/>
                      <w:sz w:val="18"/>
                      <w:szCs w:val="18"/>
                    </w:rPr>
                  </w:pPr>
                  <w:r>
                    <w:rPr>
                      <w:rFonts w:eastAsia="楷体_GB2312" w:hint="eastAsia"/>
                      <w:sz w:val="18"/>
                      <w:szCs w:val="18"/>
                    </w:rPr>
                    <w:t>2</w:t>
                  </w:r>
                  <w:r w:rsidRPr="00D46766">
                    <w:rPr>
                      <w:rFonts w:eastAsia="楷体_GB2312" w:hint="eastAsia"/>
                      <w:sz w:val="18"/>
                      <w:szCs w:val="18"/>
                    </w:rPr>
                    <w:t>0</w:t>
                  </w:r>
                  <w:r>
                    <w:rPr>
                      <w:rFonts w:eastAsia="楷体_GB2312" w:hint="eastAsia"/>
                      <w:sz w:val="18"/>
                      <w:szCs w:val="18"/>
                    </w:rPr>
                    <w:t>14</w:t>
                  </w:r>
                  <w:r w:rsidRPr="00D46766">
                    <w:rPr>
                      <w:rFonts w:eastAsia="楷体_GB2312" w:hint="eastAsia"/>
                      <w:sz w:val="18"/>
                      <w:szCs w:val="18"/>
                    </w:rPr>
                    <w:t>年</w:t>
                  </w:r>
                  <w:r>
                    <w:rPr>
                      <w:rFonts w:eastAsia="楷体_GB2312" w:hint="eastAsia"/>
                      <w:sz w:val="18"/>
                      <w:szCs w:val="18"/>
                    </w:rPr>
                    <w:t>2</w:t>
                  </w:r>
                  <w:r w:rsidRPr="00D46766">
                    <w:rPr>
                      <w:rFonts w:eastAsia="楷体_GB2312" w:hint="eastAsia"/>
                      <w:sz w:val="18"/>
                      <w:szCs w:val="18"/>
                    </w:rPr>
                    <w:t>月基金投资策略</w:t>
                  </w:r>
                  <w:r>
                    <w:rPr>
                      <w:rFonts w:eastAsia="楷体_GB2312" w:hint="eastAsia"/>
                      <w:sz w:val="18"/>
                      <w:szCs w:val="18"/>
                    </w:rPr>
                    <w:t>：</w:t>
                  </w:r>
                  <w:r w:rsidRPr="00406215">
                    <w:rPr>
                      <w:rFonts w:eastAsia="楷体_GB2312" w:hint="eastAsia"/>
                      <w:sz w:val="18"/>
                      <w:szCs w:val="18"/>
                    </w:rPr>
                    <w:t>改革预期升温，侧重配置具备估值优势的蓝筹基金</w:t>
                  </w:r>
                </w:p>
                <w:p w:rsidR="00A15B9C" w:rsidRPr="00F21494" w:rsidRDefault="00A15B9C" w:rsidP="004647C0">
                  <w:pPr>
                    <w:rPr>
                      <w:rFonts w:eastAsia="楷体_GB2312"/>
                      <w:sz w:val="18"/>
                      <w:szCs w:val="18"/>
                    </w:rPr>
                  </w:pPr>
                </w:p>
                <w:p w:rsidR="00E44B3F" w:rsidRPr="00060998" w:rsidRDefault="00E44B3F" w:rsidP="004647C0">
                  <w:pPr>
                    <w:rPr>
                      <w:rFonts w:eastAsia="楷体_GB2312"/>
                      <w:sz w:val="18"/>
                      <w:szCs w:val="18"/>
                    </w:rPr>
                  </w:pPr>
                </w:p>
                <w:p w:rsidR="00E44B3F" w:rsidRPr="00E44B3F" w:rsidRDefault="00E44B3F" w:rsidP="004647C0">
                  <w:pPr>
                    <w:rPr>
                      <w:rFonts w:eastAsia="楷体_GB2312"/>
                      <w:sz w:val="18"/>
                      <w:szCs w:val="18"/>
                    </w:rPr>
                  </w:pPr>
                </w:p>
                <w:p w:rsidR="001A459A" w:rsidRPr="00734602" w:rsidRDefault="001A459A" w:rsidP="004647C0">
                  <w:pPr>
                    <w:rPr>
                      <w:rFonts w:eastAsia="黑体"/>
                      <w:b/>
                      <w:color w:val="003366"/>
                      <w:sz w:val="24"/>
                    </w:rPr>
                  </w:pPr>
                </w:p>
              </w:tc>
            </w:tr>
          </w:tbl>
          <w:p w:rsidR="001A459A" w:rsidRPr="00F57D27" w:rsidRDefault="001A459A" w:rsidP="001A459A">
            <w:pPr>
              <w:rPr>
                <w:rFonts w:eastAsia="楷体_GB2312"/>
                <w:b/>
                <w:color w:val="003366"/>
                <w:sz w:val="28"/>
                <w:szCs w:val="28"/>
              </w:rPr>
            </w:pPr>
          </w:p>
        </w:tc>
      </w:tr>
    </w:tbl>
    <w:p w:rsidR="00BE3940" w:rsidRPr="00A054FE" w:rsidRDefault="00292759" w:rsidP="00BE3940">
      <w:pPr>
        <w:numPr>
          <w:ilvl w:val="0"/>
          <w:numId w:val="2"/>
        </w:numPr>
        <w:spacing w:line="360" w:lineRule="auto"/>
        <w:rPr>
          <w:rFonts w:ascii="黑体" w:eastAsia="黑体" w:hAnsi="宋体"/>
          <w:b/>
          <w:color w:val="003366"/>
          <w:sz w:val="24"/>
        </w:rPr>
      </w:pPr>
      <w:r>
        <w:rPr>
          <w:rFonts w:ascii="黑体" w:eastAsia="黑体" w:hAnsi="宋体"/>
          <w:b/>
          <w:noProof/>
          <w:color w:val="003366"/>
          <w:sz w:val="24"/>
        </w:rPr>
        <w:pict>
          <v:shape id="_x0000_s1032" type="#_x0000_t202" style="position:absolute;left:0;text-align:left;margin-left:-54pt;margin-top:-171.6pt;width:422.85pt;height:153.1pt;z-index:251656704;mso-position-horizontal-relative:text;mso-position-vertical-relative:text" fillcolor="#00326e" stroked="f">
            <v:textbox style="mso-next-textbox:#_x0000_s1032">
              <w:txbxContent>
                <w:p w:rsidR="00DC2903" w:rsidRPr="00C2401C" w:rsidRDefault="00DC2903" w:rsidP="00BE3940">
                  <w:pPr>
                    <w:rPr>
                      <w:rFonts w:ascii="宋体-18030" w:eastAsia="宋体-18030" w:hAnsi="宋体-18030" w:cs="宋体-18030"/>
                      <w:szCs w:val="21"/>
                    </w:rPr>
                  </w:pPr>
                </w:p>
                <w:p w:rsidR="00DC2903" w:rsidRPr="00C2401C" w:rsidRDefault="00DC2903" w:rsidP="00BE3940">
                  <w:pPr>
                    <w:jc w:val="right"/>
                    <w:rPr>
                      <w:rFonts w:ascii="宋体-18030" w:eastAsia="宋体-18030" w:hAnsi="宋体-18030" w:cs="宋体-18030"/>
                      <w:b/>
                      <w:szCs w:val="21"/>
                    </w:rPr>
                  </w:pPr>
                </w:p>
                <w:p w:rsidR="00DC2903" w:rsidRPr="00C2401C" w:rsidRDefault="00DC2903" w:rsidP="00BE3940">
                  <w:pPr>
                    <w:rPr>
                      <w:rFonts w:ascii="宋体-18030" w:eastAsia="宋体-18030" w:hAnsi="宋体-18030" w:cs="宋体-18030"/>
                      <w:szCs w:val="21"/>
                    </w:rPr>
                  </w:pPr>
                </w:p>
                <w:p w:rsidR="00DC2903" w:rsidRPr="00C2401C" w:rsidRDefault="00DC2903" w:rsidP="00BE3940">
                  <w:pPr>
                    <w:rPr>
                      <w:rFonts w:ascii="宋体-18030" w:eastAsia="宋体-18030" w:hAnsi="宋体-18030" w:cs="宋体-18030"/>
                      <w:szCs w:val="21"/>
                    </w:rPr>
                  </w:pPr>
                </w:p>
                <w:p w:rsidR="00DC2903" w:rsidRDefault="00DC2903" w:rsidP="00CD5982">
                  <w:pPr>
                    <w:ind w:right="150"/>
                    <w:jc w:val="right"/>
                    <w:rPr>
                      <w:rFonts w:ascii="黑体" w:eastAsia="黑体" w:hAnsi="宋体" w:cs="宋体-18030"/>
                      <w:b/>
                      <w:color w:val="FFFFFF"/>
                      <w:sz w:val="30"/>
                      <w:szCs w:val="30"/>
                    </w:rPr>
                  </w:pPr>
                  <w:r w:rsidRPr="003744D3">
                    <w:rPr>
                      <w:rFonts w:ascii="黑体" w:eastAsia="黑体" w:hAnsi="宋体" w:cs="宋体-18030"/>
                      <w:b/>
                      <w:color w:val="FFFFFF"/>
                      <w:sz w:val="30"/>
                      <w:szCs w:val="30"/>
                    </w:rPr>
                    <w:t></w:t>
                  </w:r>
                  <w:r w:rsidR="007C323A" w:rsidRPr="007C323A">
                    <w:rPr>
                      <w:rFonts w:ascii="黑体" w:eastAsia="黑体" w:hAnsi="宋体" w:cs="宋体-18030" w:hint="eastAsia"/>
                      <w:b/>
                      <w:color w:val="FFFFFF"/>
                      <w:sz w:val="30"/>
                      <w:szCs w:val="30"/>
                    </w:rPr>
                    <w:t>热点转向传统支柱性板块</w:t>
                  </w:r>
                  <w:r w:rsidR="007C323A">
                    <w:rPr>
                      <w:rFonts w:ascii="黑体" w:eastAsia="黑体" w:hAnsi="宋体" w:cs="宋体-18030" w:hint="eastAsia"/>
                      <w:b/>
                      <w:color w:val="FFFFFF"/>
                      <w:sz w:val="30"/>
                      <w:szCs w:val="30"/>
                    </w:rPr>
                    <w:t>，风险维持中性，</w:t>
                  </w:r>
                  <w:r w:rsidR="007C323A" w:rsidRPr="007C323A">
                    <w:rPr>
                      <w:rFonts w:ascii="黑体" w:eastAsia="黑体" w:hAnsi="宋体" w:cs="宋体-18030" w:hint="eastAsia"/>
                      <w:b/>
                      <w:color w:val="FFFFFF"/>
                      <w:sz w:val="30"/>
                      <w:szCs w:val="30"/>
                    </w:rPr>
                    <w:t>风格偏向价值</w:t>
                  </w:r>
                </w:p>
                <w:p w:rsidR="00DC2903" w:rsidRPr="00B825E8" w:rsidRDefault="00DC2903" w:rsidP="00764C61">
                  <w:pPr>
                    <w:jc w:val="right"/>
                    <w:rPr>
                      <w:rFonts w:ascii="黑体" w:eastAsia="黑体" w:hAnsi="宋体" w:cs="宋体-18030"/>
                      <w:b/>
                      <w:color w:val="FFFFFF"/>
                      <w:sz w:val="30"/>
                      <w:szCs w:val="30"/>
                    </w:rPr>
                  </w:pPr>
                </w:p>
                <w:p w:rsidR="00DC2903" w:rsidRPr="004E3270" w:rsidRDefault="00DC2903" w:rsidP="00F84017">
                  <w:pPr>
                    <w:wordWrap w:val="0"/>
                    <w:jc w:val="right"/>
                    <w:rPr>
                      <w:rFonts w:ascii="楷体_GB2312" w:eastAsia="楷体_GB2312"/>
                      <w:b/>
                      <w:szCs w:val="21"/>
                    </w:rPr>
                  </w:pPr>
                  <w:r>
                    <w:rPr>
                      <w:rFonts w:ascii="楷体_GB2312" w:eastAsia="楷体_GB2312" w:hint="eastAsia"/>
                      <w:b/>
                      <w:szCs w:val="21"/>
                    </w:rPr>
                    <w:t>--</w:t>
                  </w:r>
                  <w:r w:rsidRPr="004E62DA">
                    <w:rPr>
                      <w:rFonts w:hint="eastAsia"/>
                    </w:rPr>
                    <w:t xml:space="preserve"> </w:t>
                  </w:r>
                  <w:r>
                    <w:rPr>
                      <w:rFonts w:ascii="楷体_GB2312" w:eastAsia="楷体_GB2312" w:hint="eastAsia"/>
                      <w:b/>
                      <w:szCs w:val="21"/>
                    </w:rPr>
                    <w:t>2014</w:t>
                  </w:r>
                  <w:r w:rsidRPr="004E62DA">
                    <w:rPr>
                      <w:rFonts w:ascii="楷体_GB2312" w:eastAsia="楷体_GB2312" w:hint="eastAsia"/>
                      <w:b/>
                      <w:szCs w:val="21"/>
                    </w:rPr>
                    <w:t>年</w:t>
                  </w:r>
                  <w:r>
                    <w:rPr>
                      <w:rFonts w:ascii="楷体_GB2312" w:eastAsia="楷体_GB2312" w:hint="eastAsia"/>
                      <w:b/>
                      <w:szCs w:val="21"/>
                    </w:rPr>
                    <w:t>4月基</w:t>
                  </w:r>
                  <w:r w:rsidRPr="004E62DA">
                    <w:rPr>
                      <w:rFonts w:ascii="楷体_GB2312" w:eastAsia="楷体_GB2312" w:hint="eastAsia"/>
                      <w:b/>
                      <w:szCs w:val="21"/>
                    </w:rPr>
                    <w:t>金投资策略</w:t>
                  </w:r>
                  <w:r>
                    <w:rPr>
                      <w:rFonts w:ascii="楷体_GB2312" w:eastAsia="楷体_GB2312" w:hint="eastAsia"/>
                      <w:b/>
                      <w:szCs w:val="21"/>
                    </w:rPr>
                    <w:t xml:space="preserve">   </w:t>
                  </w:r>
                </w:p>
                <w:p w:rsidR="00DC2903" w:rsidRPr="00AF7DC8" w:rsidRDefault="00DC2903" w:rsidP="00AF7DC8">
                  <w:pPr>
                    <w:spacing w:line="360" w:lineRule="auto"/>
                    <w:jc w:val="center"/>
                    <w:rPr>
                      <w:rFonts w:ascii="黑体" w:eastAsia="黑体" w:hAnsi="宋体" w:cs="宋体-18030"/>
                      <w:b/>
                      <w:color w:val="FFFFFF"/>
                      <w:sz w:val="30"/>
                      <w:szCs w:val="30"/>
                    </w:rPr>
                  </w:pPr>
                </w:p>
              </w:txbxContent>
            </v:textbox>
          </v:shape>
        </w:pict>
      </w:r>
      <w:r w:rsidR="00BE3940" w:rsidRPr="00A054FE">
        <w:rPr>
          <w:rFonts w:ascii="黑体" w:eastAsia="黑体" w:hAnsi="宋体" w:hint="eastAsia"/>
          <w:b/>
          <w:color w:val="003366"/>
          <w:sz w:val="24"/>
        </w:rPr>
        <w:t>主要观点：</w:t>
      </w:r>
    </w:p>
    <w:p w:rsidR="00235F92" w:rsidRPr="007A2D23" w:rsidRDefault="008E7C60" w:rsidP="00235F92">
      <w:pPr>
        <w:numPr>
          <w:ilvl w:val="0"/>
          <w:numId w:val="2"/>
        </w:numPr>
        <w:rPr>
          <w:rFonts w:ascii="黑体" w:eastAsia="黑体" w:hAnsi="宋体-18030" w:cs="宋体-18030"/>
          <w:b/>
          <w:bCs/>
          <w:color w:val="003366"/>
          <w:kern w:val="44"/>
          <w:szCs w:val="21"/>
        </w:rPr>
      </w:pPr>
      <w:r w:rsidRPr="008E7C60">
        <w:rPr>
          <w:rFonts w:ascii="黑体" w:eastAsia="黑体" w:hAnsi="宋体-18030" w:cs="宋体-18030" w:hint="eastAsia"/>
          <w:b/>
          <w:bCs/>
          <w:color w:val="003366"/>
          <w:kern w:val="44"/>
          <w:szCs w:val="21"/>
        </w:rPr>
        <w:t>经济向下政策向上，热点转向传统支柱性板块</w:t>
      </w:r>
    </w:p>
    <w:p w:rsidR="000F4D4B" w:rsidRDefault="00C16FCF" w:rsidP="008462A9">
      <w:pPr>
        <w:ind w:firstLine="420"/>
        <w:rPr>
          <w:rFonts w:ascii="楷体_GB2312" w:eastAsia="楷体_GB2312" w:hAnsi="宋体" w:cs="宋体"/>
          <w:kern w:val="0"/>
          <w:szCs w:val="21"/>
        </w:rPr>
      </w:pPr>
      <w:r>
        <w:rPr>
          <w:rFonts w:ascii="楷体_GB2312" w:eastAsia="楷体_GB2312" w:hAnsi="宋体" w:cs="宋体" w:hint="eastAsia"/>
          <w:kern w:val="0"/>
          <w:szCs w:val="21"/>
        </w:rPr>
        <w:t>当前</w:t>
      </w:r>
      <w:r w:rsidR="002A2925">
        <w:rPr>
          <w:rFonts w:ascii="楷体_GB2312" w:eastAsia="楷体_GB2312" w:hAnsi="宋体" w:cs="宋体" w:hint="eastAsia"/>
          <w:kern w:val="0"/>
          <w:szCs w:val="21"/>
        </w:rPr>
        <w:t>全球经济维持复苏趋势。</w:t>
      </w:r>
      <w:r w:rsidR="0092324C">
        <w:rPr>
          <w:rFonts w:ascii="楷体_GB2312" w:eastAsia="楷体_GB2312" w:hAnsi="宋体" w:cs="宋体" w:hint="eastAsia"/>
          <w:kern w:val="0"/>
          <w:szCs w:val="21"/>
        </w:rPr>
        <w:t>其中欧元区的经济复苏开始受到通缩的威胁，美国经济再度走上快速复苏通道，</w:t>
      </w:r>
      <w:r w:rsidR="002A2925">
        <w:rPr>
          <w:rFonts w:ascii="楷体_GB2312" w:eastAsia="楷体_GB2312" w:hAnsi="宋体" w:cs="宋体" w:hint="eastAsia"/>
          <w:kern w:val="0"/>
          <w:szCs w:val="21"/>
        </w:rPr>
        <w:t>为金融市场的稳定奠定了基础。</w:t>
      </w:r>
      <w:r w:rsidRPr="00C16FCF">
        <w:rPr>
          <w:rFonts w:ascii="楷体_GB2312" w:eastAsia="楷体_GB2312" w:hAnsi="宋体" w:cs="宋体" w:hint="eastAsia"/>
          <w:kern w:val="0"/>
          <w:szCs w:val="21"/>
        </w:rPr>
        <w:t>随着国际市场对乌克兰危机逐渐消化，全球金融市场有望继续向上。</w:t>
      </w:r>
    </w:p>
    <w:p w:rsidR="00ED6984" w:rsidRPr="00ED6984" w:rsidRDefault="00C16FCF" w:rsidP="00377D61">
      <w:pPr>
        <w:ind w:firstLine="420"/>
        <w:rPr>
          <w:rFonts w:ascii="楷体_GB2312" w:eastAsia="楷体_GB2312" w:hAnsi="宋体" w:cs="宋体"/>
          <w:kern w:val="0"/>
          <w:szCs w:val="21"/>
        </w:rPr>
      </w:pPr>
      <w:r>
        <w:rPr>
          <w:rFonts w:ascii="楷体_GB2312" w:eastAsia="楷体_GB2312" w:hAnsi="宋体" w:cs="宋体" w:hint="eastAsia"/>
          <w:kern w:val="0"/>
          <w:szCs w:val="21"/>
        </w:rPr>
        <w:t>美国货币政策阴影下，中国资本流出在三月份已经初见端倪，</w:t>
      </w:r>
      <w:r w:rsidR="006B5FBC">
        <w:rPr>
          <w:rFonts w:ascii="楷体_GB2312" w:eastAsia="楷体_GB2312" w:hAnsi="宋体" w:cs="宋体" w:hint="eastAsia"/>
          <w:kern w:val="0"/>
          <w:szCs w:val="21"/>
        </w:rPr>
        <w:t>预计未来较长一段时间内资本流出仍将冲击金融市场</w:t>
      </w:r>
      <w:r w:rsidR="0032794A">
        <w:rPr>
          <w:rFonts w:ascii="楷体_GB2312" w:eastAsia="楷体_GB2312" w:hAnsi="宋体" w:cs="宋体" w:hint="eastAsia"/>
          <w:kern w:val="0"/>
          <w:szCs w:val="21"/>
        </w:rPr>
        <w:t>稳定；持续疲</w:t>
      </w:r>
      <w:r w:rsidR="000F47BA">
        <w:rPr>
          <w:rFonts w:ascii="楷体_GB2312" w:eastAsia="楷体_GB2312" w:hAnsi="宋体" w:cs="宋体" w:hint="eastAsia"/>
          <w:kern w:val="0"/>
          <w:szCs w:val="21"/>
        </w:rPr>
        <w:t>软的经济形势也制约着股市</w:t>
      </w:r>
      <w:r w:rsidR="0032794A">
        <w:rPr>
          <w:rFonts w:ascii="楷体_GB2312" w:eastAsia="楷体_GB2312" w:hAnsi="宋体" w:cs="宋体" w:hint="eastAsia"/>
          <w:kern w:val="0"/>
          <w:szCs w:val="21"/>
        </w:rPr>
        <w:t>走强；IPO重启进</w:t>
      </w:r>
      <w:r w:rsidRPr="00DC2903">
        <w:rPr>
          <w:rFonts w:ascii="楷体_GB2312" w:eastAsia="楷体_GB2312" w:hAnsi="宋体" w:cs="宋体" w:hint="eastAsia"/>
          <w:kern w:val="0"/>
          <w:szCs w:val="21"/>
        </w:rPr>
        <w:t>一步加重市场压力。受经济下行影响，政府确保增长和就业的压力增大，政策放松的预期逐渐得以强化，从而支撑股市维持活跃，市场热点或将转向传统支柱型产业板块</w:t>
      </w:r>
      <w:r w:rsidR="00ED6984" w:rsidRPr="00ED6984">
        <w:rPr>
          <w:rFonts w:ascii="楷体_GB2312" w:eastAsia="楷体_GB2312" w:hAnsi="宋体" w:cs="宋体" w:hint="eastAsia"/>
          <w:kern w:val="0"/>
          <w:szCs w:val="21"/>
        </w:rPr>
        <w:t>。</w:t>
      </w:r>
    </w:p>
    <w:p w:rsidR="00377D61" w:rsidRPr="0050054F" w:rsidRDefault="005A496F" w:rsidP="00377D61">
      <w:pPr>
        <w:numPr>
          <w:ilvl w:val="0"/>
          <w:numId w:val="2"/>
        </w:numPr>
        <w:rPr>
          <w:rFonts w:ascii="黑体" w:eastAsia="黑体" w:hAnsi="宋体-18030" w:cs="宋体-18030"/>
          <w:b/>
          <w:bCs/>
          <w:color w:val="003366"/>
          <w:kern w:val="44"/>
          <w:szCs w:val="21"/>
        </w:rPr>
      </w:pPr>
      <w:r w:rsidRPr="005A496F">
        <w:rPr>
          <w:rFonts w:ascii="黑体" w:eastAsia="黑体" w:hAnsi="宋体-18030" w:cs="宋体-18030" w:hint="eastAsia"/>
          <w:b/>
          <w:bCs/>
          <w:color w:val="003366"/>
          <w:kern w:val="44"/>
          <w:szCs w:val="21"/>
        </w:rPr>
        <w:t>风险</w:t>
      </w:r>
      <w:r>
        <w:rPr>
          <w:rFonts w:ascii="黑体" w:eastAsia="黑体" w:hAnsi="宋体-18030" w:cs="宋体-18030" w:hint="eastAsia"/>
          <w:b/>
          <w:bCs/>
          <w:color w:val="003366"/>
          <w:kern w:val="44"/>
          <w:szCs w:val="21"/>
        </w:rPr>
        <w:t>维持</w:t>
      </w:r>
      <w:r w:rsidRPr="005A496F">
        <w:rPr>
          <w:rFonts w:ascii="黑体" w:eastAsia="黑体" w:hAnsi="宋体-18030" w:cs="宋体-18030" w:hint="eastAsia"/>
          <w:b/>
          <w:bCs/>
          <w:color w:val="003366"/>
          <w:kern w:val="44"/>
          <w:szCs w:val="21"/>
        </w:rPr>
        <w:t>中性</w:t>
      </w:r>
      <w:r>
        <w:rPr>
          <w:rFonts w:ascii="黑体" w:eastAsia="黑体" w:hAnsi="宋体-18030" w:cs="宋体-18030" w:hint="eastAsia"/>
          <w:b/>
          <w:bCs/>
          <w:color w:val="003366"/>
          <w:kern w:val="44"/>
          <w:szCs w:val="21"/>
        </w:rPr>
        <w:t>，</w:t>
      </w:r>
      <w:r w:rsidRPr="005A496F">
        <w:rPr>
          <w:rFonts w:ascii="黑体" w:eastAsia="黑体" w:hAnsi="宋体-18030" w:cs="宋体-18030" w:hint="eastAsia"/>
          <w:b/>
          <w:bCs/>
          <w:color w:val="003366"/>
          <w:kern w:val="44"/>
          <w:szCs w:val="21"/>
        </w:rPr>
        <w:t>风格</w:t>
      </w:r>
      <w:r>
        <w:rPr>
          <w:rFonts w:ascii="黑体" w:eastAsia="黑体" w:hAnsi="宋体-18030" w:cs="宋体-18030" w:hint="eastAsia"/>
          <w:b/>
          <w:bCs/>
          <w:color w:val="003366"/>
          <w:kern w:val="44"/>
          <w:szCs w:val="21"/>
        </w:rPr>
        <w:t>偏向</w:t>
      </w:r>
      <w:r w:rsidRPr="005A496F">
        <w:rPr>
          <w:rFonts w:ascii="黑体" w:eastAsia="黑体" w:hAnsi="宋体-18030" w:cs="宋体-18030" w:hint="eastAsia"/>
          <w:b/>
          <w:bCs/>
          <w:color w:val="003366"/>
          <w:kern w:val="44"/>
          <w:szCs w:val="21"/>
        </w:rPr>
        <w:t>价值</w:t>
      </w:r>
    </w:p>
    <w:p w:rsidR="009F26DF" w:rsidRPr="009F26DF" w:rsidRDefault="0092324C" w:rsidP="009F26DF">
      <w:pPr>
        <w:ind w:firstLine="420"/>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维持上期判断，</w:t>
      </w:r>
      <w:r w:rsidR="00ED6984" w:rsidRPr="00ED6984">
        <w:rPr>
          <w:rFonts w:ascii="楷体_GB2312" w:eastAsia="楷体_GB2312" w:hAnsi="宋体" w:cs="宋体" w:hint="eastAsia"/>
          <w:color w:val="000000"/>
          <w:kern w:val="0"/>
          <w:szCs w:val="21"/>
        </w:rPr>
        <w:t>中短期内震荡和结构性行情是主基调。建议高风险偏好的投资者和</w:t>
      </w:r>
      <w:r w:rsidR="00ED6984" w:rsidRPr="0092324C">
        <w:rPr>
          <w:rFonts w:ascii="楷体_GB2312" w:eastAsia="楷体_GB2312" w:hAnsi="宋体" w:cs="宋体" w:hint="eastAsia"/>
          <w:color w:val="000000"/>
          <w:kern w:val="0"/>
          <w:szCs w:val="21"/>
        </w:rPr>
        <w:t>阶段性投资者密切关注政策主题，积极把握短期市场结构性机会；建议</w:t>
      </w:r>
      <w:r w:rsidR="00ED6984" w:rsidRPr="00ED6984">
        <w:rPr>
          <w:rFonts w:ascii="楷体_GB2312" w:eastAsia="楷体_GB2312" w:hAnsi="宋体" w:cs="宋体" w:hint="eastAsia"/>
          <w:color w:val="000000"/>
          <w:kern w:val="0"/>
          <w:szCs w:val="21"/>
        </w:rPr>
        <w:t>中低风险投资者和配置型投资者均衡布局，把握股市长期投资价值</w:t>
      </w:r>
      <w:r w:rsidR="000F47BA">
        <w:rPr>
          <w:rFonts w:ascii="楷体_GB2312" w:eastAsia="楷体_GB2312" w:hAnsi="宋体" w:cs="宋体" w:hint="eastAsia"/>
          <w:color w:val="000000"/>
          <w:kern w:val="0"/>
          <w:szCs w:val="21"/>
        </w:rPr>
        <w:t>。</w:t>
      </w:r>
    </w:p>
    <w:p w:rsidR="00857E45" w:rsidRPr="00857E45" w:rsidRDefault="00ED6984" w:rsidP="00857E45">
      <w:pPr>
        <w:ind w:firstLine="420"/>
        <w:rPr>
          <w:rFonts w:ascii="楷体_GB2312" w:eastAsia="楷体_GB2312" w:hAnsi="宋体" w:cs="宋体"/>
          <w:color w:val="000000"/>
          <w:kern w:val="0"/>
          <w:szCs w:val="21"/>
        </w:rPr>
      </w:pPr>
      <w:r w:rsidRPr="00A62EB3">
        <w:rPr>
          <w:rFonts w:ascii="楷体_GB2312" w:eastAsia="楷体_GB2312" w:hAnsi="宋体" w:cs="宋体" w:hint="eastAsia"/>
          <w:kern w:val="0"/>
          <w:szCs w:val="21"/>
        </w:rPr>
        <w:t>权益类基金方面，</w:t>
      </w:r>
      <w:r w:rsidR="008E7C60" w:rsidRPr="00F442B3">
        <w:rPr>
          <w:rFonts w:ascii="楷体_GB2312" w:eastAsia="楷体_GB2312" w:hAnsi="宋体" w:cs="宋体" w:hint="eastAsia"/>
          <w:kern w:val="0"/>
          <w:szCs w:val="21"/>
        </w:rPr>
        <w:t>维持</w:t>
      </w:r>
      <w:r w:rsidR="000F47BA">
        <w:rPr>
          <w:rFonts w:ascii="楷体_GB2312" w:eastAsia="楷体_GB2312" w:hAnsi="宋体" w:cs="宋体" w:hint="eastAsia"/>
          <w:kern w:val="0"/>
          <w:szCs w:val="21"/>
        </w:rPr>
        <w:t>风险</w:t>
      </w:r>
      <w:r w:rsidR="008E7C60" w:rsidRPr="00F442B3">
        <w:rPr>
          <w:rFonts w:ascii="楷体_GB2312" w:eastAsia="楷体_GB2312" w:hAnsi="宋体" w:cs="宋体" w:hint="eastAsia"/>
          <w:kern w:val="0"/>
          <w:szCs w:val="21"/>
        </w:rPr>
        <w:t>中性配置，</w:t>
      </w:r>
      <w:r w:rsidR="008E7C60">
        <w:rPr>
          <w:rFonts w:ascii="楷体_GB2312" w:eastAsia="楷体_GB2312" w:hAnsi="宋体" w:cs="宋体" w:hint="eastAsia"/>
          <w:kern w:val="0"/>
          <w:szCs w:val="21"/>
        </w:rPr>
        <w:t>沿着政策放开路径把握市场结构性行情。考虑到创业板的调整已近展开，我</w:t>
      </w:r>
      <w:r w:rsidR="000F47BA">
        <w:rPr>
          <w:rFonts w:ascii="楷体_GB2312" w:eastAsia="楷体_GB2312" w:hAnsi="宋体" w:cs="宋体" w:hint="eastAsia"/>
          <w:kern w:val="0"/>
          <w:szCs w:val="21"/>
        </w:rPr>
        <w:t>们预期这一调整将在未来一段</w:t>
      </w:r>
      <w:r w:rsidR="00FD5B7C">
        <w:rPr>
          <w:rFonts w:ascii="楷体_GB2312" w:eastAsia="楷体_GB2312" w:hAnsi="宋体" w:cs="宋体" w:hint="eastAsia"/>
          <w:kern w:val="0"/>
          <w:szCs w:val="21"/>
        </w:rPr>
        <w:t>时间内得以延续</w:t>
      </w:r>
      <w:r w:rsidR="008E7C60">
        <w:rPr>
          <w:rFonts w:ascii="楷体_GB2312" w:eastAsia="楷体_GB2312" w:hAnsi="宋体" w:cs="宋体" w:hint="eastAsia"/>
          <w:kern w:val="0"/>
          <w:szCs w:val="21"/>
        </w:rPr>
        <w:t>，建议投资者加快降低</w:t>
      </w:r>
      <w:r w:rsidR="008E7C60" w:rsidRPr="00CB03D0">
        <w:rPr>
          <w:rFonts w:ascii="楷体_GB2312" w:eastAsia="楷体_GB2312" w:hAnsi="宋体" w:cs="宋体" w:hint="eastAsia"/>
          <w:kern w:val="0"/>
          <w:szCs w:val="21"/>
        </w:rPr>
        <w:t>主要持仓以创业板为首的小市值高估值股票</w:t>
      </w:r>
      <w:r w:rsidR="009D23BB">
        <w:rPr>
          <w:rFonts w:ascii="楷体_GB2312" w:eastAsia="楷体_GB2312" w:hAnsi="宋体" w:cs="宋体" w:hint="eastAsia"/>
          <w:kern w:val="0"/>
          <w:szCs w:val="21"/>
        </w:rPr>
        <w:t>的</w:t>
      </w:r>
      <w:r w:rsidR="008E7C60" w:rsidRPr="00CB03D0">
        <w:rPr>
          <w:rFonts w:ascii="楷体_GB2312" w:eastAsia="楷体_GB2312" w:hAnsi="宋体" w:cs="宋体" w:hint="eastAsia"/>
          <w:kern w:val="0"/>
          <w:szCs w:val="21"/>
        </w:rPr>
        <w:t>基金的配置比例</w:t>
      </w:r>
      <w:r w:rsidR="008E7C60">
        <w:rPr>
          <w:rFonts w:ascii="楷体_GB2312" w:eastAsia="楷体_GB2312" w:hAnsi="宋体" w:cs="宋体" w:hint="eastAsia"/>
          <w:kern w:val="0"/>
          <w:szCs w:val="21"/>
        </w:rPr>
        <w:t>，锁定主板市场价值板块</w:t>
      </w:r>
      <w:r w:rsidR="008E7C60" w:rsidRPr="00F442B3">
        <w:rPr>
          <w:rFonts w:ascii="楷体_GB2312" w:eastAsia="楷体_GB2312" w:hAnsi="宋体" w:cs="宋体" w:hint="eastAsia"/>
          <w:kern w:val="0"/>
          <w:szCs w:val="21"/>
        </w:rPr>
        <w:t>，在把握确定性收益的基础上寻求估值修复收益</w:t>
      </w:r>
      <w:r w:rsidR="000440AF">
        <w:rPr>
          <w:rFonts w:ascii="楷体_GB2312" w:eastAsia="楷体_GB2312" w:hAnsi="宋体" w:cs="宋体" w:hint="eastAsia"/>
          <w:color w:val="000000"/>
          <w:kern w:val="0"/>
          <w:szCs w:val="21"/>
        </w:rPr>
        <w:t>。</w:t>
      </w:r>
    </w:p>
    <w:p w:rsidR="00B1290C" w:rsidRDefault="0086721E" w:rsidP="009F26DF">
      <w:pPr>
        <w:ind w:firstLine="420"/>
        <w:rPr>
          <w:rFonts w:ascii="楷体_GB2312" w:eastAsia="楷体_GB2312" w:hAnsi="宋体" w:cs="宋体"/>
          <w:color w:val="000000"/>
          <w:kern w:val="0"/>
          <w:szCs w:val="21"/>
        </w:rPr>
      </w:pPr>
      <w:r w:rsidRPr="0087531E">
        <w:rPr>
          <w:rFonts w:ascii="楷体_GB2312" w:eastAsia="楷体_GB2312" w:hAnsi="宋体" w:cs="宋体" w:hint="eastAsia"/>
          <w:kern w:val="0"/>
          <w:szCs w:val="21"/>
        </w:rPr>
        <w:t>固定收益率基金方面，</w:t>
      </w:r>
      <w:r w:rsidR="008E7C60">
        <w:rPr>
          <w:rFonts w:ascii="楷体_GB2312" w:eastAsia="楷体_GB2312" w:hAnsi="宋体" w:cs="宋体" w:hint="eastAsia"/>
          <w:color w:val="000000"/>
          <w:kern w:val="0"/>
          <w:szCs w:val="21"/>
        </w:rPr>
        <w:t>整体上债券市场仍然风险大于机会，建议投资者维持</w:t>
      </w:r>
      <w:r w:rsidR="008E7C60">
        <w:rPr>
          <w:rFonts w:ascii="楷体_GB2312" w:eastAsia="楷体_GB2312" w:hAnsi="宋体" w:cs="宋体" w:hint="eastAsia"/>
          <w:color w:val="000000"/>
          <w:kern w:val="0"/>
          <w:szCs w:val="21"/>
        </w:rPr>
        <w:t>谨慎，</w:t>
      </w:r>
      <w:r w:rsidR="008E7C60" w:rsidRPr="005D2D52">
        <w:rPr>
          <w:rFonts w:ascii="楷体_GB2312" w:eastAsia="楷体_GB2312" w:hAnsi="宋体" w:cs="宋体" w:hint="eastAsia"/>
          <w:color w:val="000000"/>
          <w:kern w:val="0"/>
          <w:szCs w:val="21"/>
        </w:rPr>
        <w:t>关注短久期高等级券种，回避低评级券种。</w:t>
      </w:r>
      <w:r w:rsidR="008E7C60" w:rsidRPr="00CB03D0">
        <w:rPr>
          <w:rFonts w:ascii="楷体_GB2312" w:eastAsia="楷体_GB2312" w:hAnsi="宋体" w:cs="宋体" w:hint="eastAsia"/>
          <w:kern w:val="0"/>
          <w:szCs w:val="21"/>
        </w:rPr>
        <w:t>密切关注债券型基金蕴含的长期配置价值</w:t>
      </w:r>
      <w:r w:rsidR="000F47BA">
        <w:rPr>
          <w:rFonts w:ascii="楷体_GB2312" w:eastAsia="楷体_GB2312" w:hAnsi="宋体" w:cs="宋体" w:hint="eastAsia"/>
          <w:kern w:val="0"/>
          <w:szCs w:val="21"/>
        </w:rPr>
        <w:t>。</w:t>
      </w:r>
    </w:p>
    <w:p w:rsidR="00FB2850" w:rsidRPr="002E27C6" w:rsidRDefault="009F26DF" w:rsidP="009F26DF">
      <w:pPr>
        <w:ind w:firstLine="420"/>
        <w:rPr>
          <w:rFonts w:ascii="楷体_GB2312" w:eastAsia="楷体_GB2312" w:hAnsi="宋体" w:cs="宋体"/>
          <w:kern w:val="0"/>
          <w:szCs w:val="21"/>
        </w:rPr>
      </w:pPr>
      <w:r w:rsidRPr="009F26DF">
        <w:rPr>
          <w:rFonts w:ascii="楷体_GB2312" w:eastAsia="楷体_GB2312" w:hAnsi="宋体" w:cs="宋体" w:hint="eastAsia"/>
          <w:color w:val="000000"/>
          <w:kern w:val="0"/>
          <w:szCs w:val="21"/>
        </w:rPr>
        <w:t>QDII方面，</w:t>
      </w:r>
      <w:r w:rsidR="0086721E">
        <w:rPr>
          <w:rFonts w:ascii="楷体_GB2312" w:eastAsia="楷体_GB2312" w:hAnsi="宋体" w:cs="宋体" w:hint="eastAsia"/>
          <w:color w:val="000000"/>
          <w:kern w:val="0"/>
          <w:szCs w:val="21"/>
        </w:rPr>
        <w:t>维持上期</w:t>
      </w:r>
      <w:r w:rsidR="008E7C60">
        <w:rPr>
          <w:rFonts w:ascii="楷体_GB2312" w:eastAsia="楷体_GB2312" w:hAnsi="宋体" w:cs="宋体" w:hint="eastAsia"/>
          <w:color w:val="000000"/>
          <w:kern w:val="0"/>
          <w:szCs w:val="21"/>
        </w:rPr>
        <w:t>配置策略</w:t>
      </w:r>
      <w:r w:rsidR="0086721E">
        <w:rPr>
          <w:rFonts w:ascii="楷体_GB2312" w:eastAsia="楷体_GB2312" w:hAnsi="宋体" w:cs="宋体" w:hint="eastAsia"/>
          <w:color w:val="000000"/>
          <w:kern w:val="0"/>
          <w:szCs w:val="21"/>
        </w:rPr>
        <w:t>，</w:t>
      </w:r>
      <w:r w:rsidRPr="009F26DF">
        <w:rPr>
          <w:rFonts w:ascii="楷体_GB2312" w:eastAsia="楷体_GB2312" w:hAnsi="宋体" w:cs="宋体" w:hint="eastAsia"/>
          <w:color w:val="000000"/>
          <w:kern w:val="0"/>
          <w:szCs w:val="21"/>
        </w:rPr>
        <w:t>建议投资者侧重于关注主要投资发达国家股票市场，尤其是</w:t>
      </w:r>
      <w:r w:rsidR="00CD49A1">
        <w:rPr>
          <w:rFonts w:ascii="楷体_GB2312" w:eastAsia="楷体_GB2312" w:hAnsi="宋体" w:cs="宋体" w:hint="eastAsia"/>
          <w:color w:val="000000"/>
          <w:kern w:val="0"/>
          <w:szCs w:val="21"/>
        </w:rPr>
        <w:t>投资美股</w:t>
      </w:r>
      <w:r w:rsidRPr="009F26DF">
        <w:rPr>
          <w:rFonts w:ascii="楷体_GB2312" w:eastAsia="楷体_GB2312" w:hAnsi="宋体" w:cs="宋体" w:hint="eastAsia"/>
          <w:color w:val="000000"/>
          <w:kern w:val="0"/>
          <w:szCs w:val="21"/>
        </w:rPr>
        <w:t>的QDII，适当回避主要投资新兴市场的QDII</w:t>
      </w:r>
      <w:r w:rsidR="00D60CAD">
        <w:rPr>
          <w:rFonts w:ascii="楷体_GB2312" w:eastAsia="楷体_GB2312" w:hAnsi="宋体" w:cs="宋体" w:hint="eastAsia"/>
          <w:color w:val="000000"/>
          <w:kern w:val="0"/>
          <w:szCs w:val="21"/>
        </w:rPr>
        <w:t>，</w:t>
      </w:r>
      <w:r w:rsidRPr="009F26DF">
        <w:rPr>
          <w:rFonts w:ascii="楷体_GB2312" w:eastAsia="楷体_GB2312" w:hAnsi="宋体" w:cs="宋体" w:hint="eastAsia"/>
          <w:color w:val="000000"/>
          <w:kern w:val="0"/>
          <w:szCs w:val="21"/>
        </w:rPr>
        <w:t>回避资源品、商品类QDII</w:t>
      </w:r>
      <w:r w:rsidR="00F84017">
        <w:rPr>
          <w:rFonts w:ascii="楷体_GB2312" w:eastAsia="楷体_GB2312" w:hAnsi="宋体" w:cs="宋体" w:hint="eastAsia"/>
          <w:kern w:val="0"/>
          <w:szCs w:val="21"/>
        </w:rPr>
        <w:t>。</w:t>
      </w:r>
    </w:p>
    <w:p w:rsidR="006F51D7" w:rsidRDefault="00377D61" w:rsidP="00377D61">
      <w:pPr>
        <w:ind w:firstLine="420"/>
        <w:rPr>
          <w:rFonts w:ascii="楷体_GB2312" w:eastAsia="楷体_GB2312" w:hAnsi="宋体" w:cs="宋体"/>
          <w:kern w:val="0"/>
          <w:szCs w:val="21"/>
        </w:rPr>
      </w:pPr>
      <w:r w:rsidRPr="0050054F">
        <w:rPr>
          <w:rFonts w:ascii="黑体" w:eastAsia="黑体" w:hAnsi="宋体" w:hint="eastAsia"/>
          <w:b/>
          <w:color w:val="003366"/>
          <w:szCs w:val="21"/>
        </w:rPr>
        <w:t>组合推荐：</w:t>
      </w:r>
      <w:r w:rsidR="00B149DD" w:rsidRPr="003A2393">
        <w:rPr>
          <w:rFonts w:ascii="楷体_GB2312" w:eastAsia="楷体_GB2312" w:hAnsi="宋体" w:cs="宋体" w:hint="eastAsia"/>
          <w:kern w:val="0"/>
          <w:szCs w:val="21"/>
        </w:rPr>
        <w:t>具体到组合构建上，我们在“</w:t>
      </w:r>
      <w:r w:rsidR="009D23BB" w:rsidRPr="009D23BB">
        <w:rPr>
          <w:rFonts w:ascii="楷体_GB2312" w:eastAsia="楷体_GB2312" w:hAnsi="宋体" w:cs="宋体"/>
          <w:kern w:val="0"/>
          <w:szCs w:val="21"/>
        </w:rPr>
        <w:t></w:t>
      </w:r>
      <w:r w:rsidR="009D23BB" w:rsidRPr="009D23BB">
        <w:rPr>
          <w:rFonts w:ascii="楷体_GB2312" w:eastAsia="楷体_GB2312" w:hAnsi="宋体" w:cs="宋体"/>
          <w:kern w:val="0"/>
          <w:szCs w:val="21"/>
        </w:rPr>
        <w:tab/>
      </w:r>
      <w:r w:rsidR="009D23BB" w:rsidRPr="009D23BB">
        <w:rPr>
          <w:rFonts w:ascii="楷体_GB2312" w:eastAsia="楷体_GB2312" w:hAnsi="宋体" w:cs="宋体" w:hint="eastAsia"/>
          <w:kern w:val="0"/>
          <w:szCs w:val="21"/>
        </w:rPr>
        <w:t>风险维持中性，风格偏向价值</w:t>
      </w:r>
      <w:r w:rsidR="00B149DD" w:rsidRPr="003A2393">
        <w:rPr>
          <w:rFonts w:ascii="楷体_GB2312" w:eastAsia="楷体_GB2312" w:hAnsi="宋体" w:cs="宋体" w:hint="eastAsia"/>
          <w:kern w:val="0"/>
          <w:szCs w:val="21"/>
        </w:rPr>
        <w:t>”的基金投资策略指引下，充分考虑资产配置、行业结构、投资风格分散化原则，构建投资组合以供投资参考</w:t>
      </w:r>
      <w:r w:rsidR="00DE5911">
        <w:rPr>
          <w:rFonts w:ascii="楷体_GB2312" w:eastAsia="楷体_GB2312" w:hint="eastAsia"/>
          <w:noProof/>
        </w:rPr>
        <w:t>。</w:t>
      </w:r>
      <w:r w:rsidR="009D23BB" w:rsidRPr="009D23BB">
        <w:rPr>
          <w:rFonts w:ascii="楷体_GB2312" w:eastAsia="楷体_GB2312" w:hAnsi="宋体" w:cs="宋体" w:hint="eastAsia"/>
          <w:kern w:val="0"/>
          <w:szCs w:val="21"/>
        </w:rPr>
        <w:t>本期</w:t>
      </w:r>
      <w:r w:rsidR="009D23BB">
        <w:rPr>
          <w:rFonts w:ascii="楷体_GB2312" w:eastAsia="楷体_GB2312" w:hAnsi="宋体" w:cs="宋体" w:hint="eastAsia"/>
          <w:kern w:val="0"/>
          <w:szCs w:val="21"/>
        </w:rPr>
        <w:t>对积极型组合进行小幅调整</w:t>
      </w:r>
      <w:r w:rsidR="009D23BB" w:rsidRPr="009D23BB">
        <w:rPr>
          <w:rFonts w:ascii="楷体_GB2312" w:eastAsia="楷体_GB2312" w:hAnsi="宋体" w:cs="宋体" w:hint="eastAsia"/>
          <w:kern w:val="0"/>
          <w:szCs w:val="21"/>
        </w:rPr>
        <w:t>，继续提高了对添富价值的配置比例，降低了对银河成长的配置比例</w:t>
      </w:r>
      <w:r w:rsidR="009D23BB">
        <w:rPr>
          <w:rFonts w:ascii="楷体_GB2312" w:eastAsia="楷体_GB2312" w:hAnsi="宋体" w:cs="宋体" w:hint="eastAsia"/>
          <w:kern w:val="0"/>
          <w:szCs w:val="21"/>
        </w:rPr>
        <w:t>。</w:t>
      </w:r>
    </w:p>
    <w:p w:rsidR="005E24D9" w:rsidRDefault="005E24D9" w:rsidP="00377D61">
      <w:pPr>
        <w:ind w:firstLine="420"/>
        <w:rPr>
          <w:rFonts w:ascii="楷体_GB2312" w:eastAsia="楷体_GB2312"/>
          <w:noProof/>
        </w:rPr>
      </w:pPr>
    </w:p>
    <w:tbl>
      <w:tblPr>
        <w:tblW w:w="5000" w:type="pct"/>
        <w:jc w:val="center"/>
        <w:tblLook w:val="0000"/>
      </w:tblPr>
      <w:tblGrid>
        <w:gridCol w:w="1611"/>
        <w:gridCol w:w="578"/>
        <w:gridCol w:w="434"/>
        <w:gridCol w:w="1293"/>
        <w:gridCol w:w="581"/>
        <w:gridCol w:w="405"/>
        <w:gridCol w:w="1255"/>
        <w:gridCol w:w="578"/>
      </w:tblGrid>
      <w:tr w:rsidR="000B4882" w:rsidRPr="005B5148" w:rsidTr="00B149DD">
        <w:trPr>
          <w:trHeight w:val="285"/>
          <w:jc w:val="center"/>
        </w:trPr>
        <w:tc>
          <w:tcPr>
            <w:tcW w:w="1625" w:type="pct"/>
            <w:gridSpan w:val="2"/>
            <w:tcBorders>
              <w:top w:val="single" w:sz="4" w:space="0" w:color="auto"/>
              <w:left w:val="single" w:sz="4" w:space="0" w:color="auto"/>
              <w:right w:val="single" w:sz="4" w:space="0" w:color="000000"/>
            </w:tcBorders>
            <w:shd w:val="clear" w:color="auto" w:fill="0000FF"/>
            <w:noWrap/>
            <w:vAlign w:val="bottom"/>
          </w:tcPr>
          <w:p w:rsidR="000B4882" w:rsidRPr="00604445" w:rsidRDefault="000B4882" w:rsidP="004539A3">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积极型组合</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B4882" w:rsidRPr="005B5148" w:rsidRDefault="000B4882" w:rsidP="004539A3">
            <w:pPr>
              <w:widowControl/>
              <w:jc w:val="center"/>
              <w:rPr>
                <w:rFonts w:ascii="宋体" w:hAnsi="宋体" w:cs="宋体"/>
                <w:kern w:val="0"/>
                <w:sz w:val="18"/>
                <w:szCs w:val="18"/>
              </w:rPr>
            </w:pPr>
          </w:p>
        </w:tc>
        <w:tc>
          <w:tcPr>
            <w:tcW w:w="1390" w:type="pct"/>
            <w:gridSpan w:val="2"/>
            <w:tcBorders>
              <w:top w:val="single" w:sz="4" w:space="0" w:color="auto"/>
              <w:left w:val="single" w:sz="4" w:space="0" w:color="auto"/>
              <w:right w:val="single" w:sz="4" w:space="0" w:color="000000"/>
            </w:tcBorders>
            <w:shd w:val="clear" w:color="auto" w:fill="0000FF"/>
            <w:noWrap/>
            <w:vAlign w:val="bottom"/>
          </w:tcPr>
          <w:p w:rsidR="000B4882" w:rsidRPr="00604445" w:rsidRDefault="000B4882" w:rsidP="004539A3">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平衡型组合</w:t>
            </w:r>
          </w:p>
        </w:tc>
        <w:tc>
          <w:tcPr>
            <w:tcW w:w="301" w:type="pct"/>
            <w:vMerge w:val="restart"/>
            <w:tcBorders>
              <w:top w:val="single" w:sz="4" w:space="0" w:color="auto"/>
              <w:left w:val="single" w:sz="4" w:space="0" w:color="000000"/>
              <w:bottom w:val="single" w:sz="4" w:space="0" w:color="000000"/>
              <w:right w:val="single" w:sz="4" w:space="0" w:color="auto"/>
            </w:tcBorders>
            <w:shd w:val="clear" w:color="auto" w:fill="auto"/>
            <w:noWrap/>
            <w:vAlign w:val="bottom"/>
          </w:tcPr>
          <w:p w:rsidR="000B4882" w:rsidRPr="005B5148" w:rsidRDefault="000B4882" w:rsidP="004539A3">
            <w:pPr>
              <w:widowControl/>
              <w:jc w:val="center"/>
              <w:rPr>
                <w:rFonts w:ascii="宋体" w:hAnsi="宋体" w:cs="宋体"/>
                <w:kern w:val="0"/>
                <w:sz w:val="18"/>
                <w:szCs w:val="18"/>
              </w:rPr>
            </w:pPr>
          </w:p>
        </w:tc>
        <w:tc>
          <w:tcPr>
            <w:tcW w:w="1361" w:type="pct"/>
            <w:gridSpan w:val="2"/>
            <w:tcBorders>
              <w:top w:val="single" w:sz="4" w:space="0" w:color="auto"/>
              <w:left w:val="single" w:sz="4" w:space="0" w:color="auto"/>
              <w:right w:val="single" w:sz="4" w:space="0" w:color="000000"/>
            </w:tcBorders>
            <w:shd w:val="clear" w:color="auto" w:fill="0000FF"/>
            <w:noWrap/>
            <w:vAlign w:val="bottom"/>
          </w:tcPr>
          <w:p w:rsidR="000B4882" w:rsidRPr="00604445" w:rsidRDefault="000B4882" w:rsidP="004539A3">
            <w:pPr>
              <w:widowControl/>
              <w:jc w:val="center"/>
              <w:rPr>
                <w:rFonts w:ascii="宋体" w:hAnsi="宋体" w:cs="宋体"/>
                <w:b/>
                <w:color w:val="FFFFFF"/>
                <w:kern w:val="0"/>
                <w:sz w:val="18"/>
                <w:szCs w:val="18"/>
              </w:rPr>
            </w:pPr>
            <w:r w:rsidRPr="00604445">
              <w:rPr>
                <w:rFonts w:ascii="宋体" w:hAnsi="宋体" w:cs="宋体" w:hint="eastAsia"/>
                <w:b/>
                <w:color w:val="FFFFFF"/>
                <w:kern w:val="0"/>
                <w:sz w:val="18"/>
                <w:szCs w:val="18"/>
              </w:rPr>
              <w:t>稳定型组合</w:t>
            </w:r>
          </w:p>
        </w:tc>
      </w:tr>
      <w:tr w:rsidR="000B4882" w:rsidRPr="005B5148" w:rsidTr="00B149DD">
        <w:trPr>
          <w:trHeight w:val="285"/>
          <w:jc w:val="center"/>
        </w:trPr>
        <w:tc>
          <w:tcPr>
            <w:tcW w:w="1196" w:type="pct"/>
            <w:tcBorders>
              <w:top w:val="nil"/>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29" w:type="pct"/>
            <w:tcBorders>
              <w:top w:val="nil"/>
              <w:left w:val="single" w:sz="8" w:space="0" w:color="auto"/>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c>
          <w:tcPr>
            <w:tcW w:w="323" w:type="pct"/>
            <w:vMerge/>
            <w:tcBorders>
              <w:top w:val="single" w:sz="4" w:space="0" w:color="auto"/>
              <w:left w:val="single" w:sz="8" w:space="0" w:color="auto"/>
              <w:bottom w:val="single" w:sz="4" w:space="0" w:color="000000"/>
            </w:tcBorders>
            <w:vAlign w:val="center"/>
          </w:tcPr>
          <w:p w:rsidR="000B4882" w:rsidRPr="005B5148" w:rsidRDefault="000B4882" w:rsidP="004539A3">
            <w:pPr>
              <w:widowControl/>
              <w:jc w:val="left"/>
              <w:rPr>
                <w:rFonts w:ascii="宋体" w:hAnsi="宋体" w:cs="宋体"/>
                <w:kern w:val="0"/>
                <w:sz w:val="18"/>
                <w:szCs w:val="18"/>
              </w:rPr>
            </w:pPr>
          </w:p>
        </w:tc>
        <w:tc>
          <w:tcPr>
            <w:tcW w:w="960" w:type="pct"/>
            <w:tcBorders>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31" w:type="pct"/>
            <w:tcBorders>
              <w:left w:val="single" w:sz="8" w:space="0" w:color="auto"/>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c>
          <w:tcPr>
            <w:tcW w:w="301" w:type="pct"/>
            <w:vMerge/>
            <w:tcBorders>
              <w:top w:val="single" w:sz="4" w:space="0" w:color="auto"/>
              <w:left w:val="single" w:sz="8" w:space="0" w:color="auto"/>
              <w:bottom w:val="single" w:sz="4" w:space="0" w:color="000000"/>
            </w:tcBorders>
            <w:vAlign w:val="center"/>
          </w:tcPr>
          <w:p w:rsidR="000B4882" w:rsidRPr="005B5148" w:rsidRDefault="000B4882" w:rsidP="004539A3">
            <w:pPr>
              <w:widowControl/>
              <w:jc w:val="left"/>
              <w:rPr>
                <w:rFonts w:ascii="宋体" w:hAnsi="宋体" w:cs="宋体"/>
                <w:kern w:val="0"/>
                <w:sz w:val="18"/>
                <w:szCs w:val="18"/>
              </w:rPr>
            </w:pPr>
          </w:p>
        </w:tc>
        <w:tc>
          <w:tcPr>
            <w:tcW w:w="932" w:type="pct"/>
            <w:tcBorders>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样本基金</w:t>
            </w:r>
          </w:p>
        </w:tc>
        <w:tc>
          <w:tcPr>
            <w:tcW w:w="429" w:type="pct"/>
            <w:tcBorders>
              <w:left w:val="single" w:sz="8" w:space="0" w:color="auto"/>
              <w:bottom w:val="single" w:sz="8" w:space="0" w:color="auto"/>
              <w:right w:val="single" w:sz="8" w:space="0" w:color="auto"/>
            </w:tcBorders>
            <w:shd w:val="clear" w:color="auto" w:fill="D9D9D9"/>
            <w:noWrap/>
            <w:vAlign w:val="bottom"/>
          </w:tcPr>
          <w:p w:rsidR="000B4882" w:rsidRPr="005B5148" w:rsidRDefault="000B4882" w:rsidP="004539A3">
            <w:pPr>
              <w:widowControl/>
              <w:jc w:val="center"/>
              <w:rPr>
                <w:rFonts w:ascii="宋体" w:hAnsi="宋体" w:cs="宋体"/>
                <w:b/>
                <w:kern w:val="0"/>
                <w:sz w:val="18"/>
                <w:szCs w:val="18"/>
              </w:rPr>
            </w:pPr>
            <w:r w:rsidRPr="005B5148">
              <w:rPr>
                <w:rFonts w:ascii="宋体" w:hAnsi="宋体" w:cs="宋体" w:hint="eastAsia"/>
                <w:b/>
                <w:kern w:val="0"/>
                <w:sz w:val="18"/>
                <w:szCs w:val="18"/>
              </w:rPr>
              <w:t>权重</w:t>
            </w:r>
          </w:p>
        </w:tc>
      </w:tr>
      <w:tr w:rsidR="00B149DD" w:rsidRPr="005B5148" w:rsidTr="00B149DD">
        <w:trPr>
          <w:trHeight w:val="285"/>
          <w:jc w:val="center"/>
        </w:trPr>
        <w:tc>
          <w:tcPr>
            <w:tcW w:w="1196" w:type="pct"/>
            <w:tcBorders>
              <w:top w:val="single" w:sz="8" w:space="0" w:color="auto"/>
              <w:left w:val="single" w:sz="4" w:space="0" w:color="auto"/>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银河成长</w:t>
            </w:r>
          </w:p>
        </w:tc>
        <w:tc>
          <w:tcPr>
            <w:tcW w:w="429"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E921CB" w:rsidP="004539A3">
            <w:pPr>
              <w:widowControl/>
              <w:jc w:val="center"/>
              <w:rPr>
                <w:rFonts w:ascii="宋体" w:hAnsi="宋体" w:cs="宋体"/>
                <w:kern w:val="0"/>
                <w:sz w:val="18"/>
                <w:szCs w:val="18"/>
              </w:rPr>
            </w:pPr>
            <w:r>
              <w:rPr>
                <w:rFonts w:ascii="宋体" w:hAnsi="宋体" w:cs="宋体" w:hint="eastAsia"/>
                <w:kern w:val="0"/>
                <w:sz w:val="18"/>
                <w:szCs w:val="18"/>
              </w:rPr>
              <w:t>2</w:t>
            </w:r>
            <w:r w:rsidR="00B149DD" w:rsidRPr="005B5148">
              <w:rPr>
                <w:rFonts w:ascii="宋体" w:hAnsi="宋体" w:cs="宋体" w:hint="eastAsia"/>
                <w:kern w:val="0"/>
                <w:sz w:val="18"/>
                <w:szCs w:val="18"/>
              </w:rPr>
              <w:t>0%</w:t>
            </w:r>
          </w:p>
        </w:tc>
        <w:tc>
          <w:tcPr>
            <w:tcW w:w="323" w:type="pct"/>
            <w:vMerge/>
            <w:tcBorders>
              <w:top w:val="single" w:sz="8"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60"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0129DA">
            <w:pPr>
              <w:widowControl/>
              <w:jc w:val="center"/>
              <w:rPr>
                <w:rFonts w:ascii="宋体" w:hAnsi="宋体" w:cs="宋体"/>
                <w:kern w:val="0"/>
                <w:sz w:val="18"/>
                <w:szCs w:val="18"/>
              </w:rPr>
            </w:pPr>
            <w:r w:rsidRPr="003C100F">
              <w:rPr>
                <w:rFonts w:ascii="宋体" w:hAnsi="宋体" w:cs="宋体" w:hint="eastAsia"/>
                <w:kern w:val="0"/>
                <w:sz w:val="18"/>
                <w:szCs w:val="18"/>
              </w:rPr>
              <w:t>博时标普500</w:t>
            </w:r>
          </w:p>
        </w:tc>
        <w:tc>
          <w:tcPr>
            <w:tcW w:w="431"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301" w:type="pct"/>
            <w:vMerge/>
            <w:tcBorders>
              <w:top w:val="single" w:sz="8"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32"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F84017">
            <w:pPr>
              <w:widowControl/>
              <w:jc w:val="center"/>
              <w:rPr>
                <w:rFonts w:ascii="宋体" w:hAnsi="宋体" w:cs="宋体"/>
                <w:kern w:val="0"/>
                <w:sz w:val="18"/>
                <w:szCs w:val="18"/>
              </w:rPr>
            </w:pPr>
            <w:r>
              <w:rPr>
                <w:rFonts w:ascii="宋体" w:hAnsi="宋体" w:cs="宋体" w:hint="eastAsia"/>
                <w:kern w:val="0"/>
                <w:sz w:val="18"/>
                <w:szCs w:val="18"/>
              </w:rPr>
              <w:t>建信货币</w:t>
            </w:r>
          </w:p>
        </w:tc>
        <w:tc>
          <w:tcPr>
            <w:tcW w:w="429" w:type="pct"/>
            <w:tcBorders>
              <w:top w:val="single" w:sz="8" w:space="0" w:color="auto"/>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r>
      <w:tr w:rsidR="007A2D23" w:rsidRPr="005B5148" w:rsidTr="00B149DD">
        <w:trPr>
          <w:trHeight w:val="285"/>
          <w:jc w:val="center"/>
        </w:trPr>
        <w:tc>
          <w:tcPr>
            <w:tcW w:w="1196" w:type="pct"/>
            <w:tcBorders>
              <w:top w:val="nil"/>
              <w:left w:val="single" w:sz="4" w:space="0" w:color="auto"/>
              <w:bottom w:val="single" w:sz="4" w:space="0" w:color="auto"/>
              <w:right w:val="single" w:sz="4" w:space="0" w:color="auto"/>
            </w:tcBorders>
            <w:shd w:val="clear" w:color="auto" w:fill="auto"/>
            <w:noWrap/>
            <w:vAlign w:val="bottom"/>
          </w:tcPr>
          <w:p w:rsidR="007A2D23" w:rsidRPr="00CA345B" w:rsidRDefault="007A2D23" w:rsidP="004F3B1D">
            <w:pPr>
              <w:jc w:val="center"/>
              <w:rPr>
                <w:rFonts w:ascii="宋体" w:hAnsi="宋体" w:cs="宋体"/>
                <w:sz w:val="18"/>
                <w:szCs w:val="18"/>
              </w:rPr>
            </w:pPr>
            <w:r w:rsidRPr="00375D93">
              <w:rPr>
                <w:rFonts w:hint="eastAsia"/>
                <w:sz w:val="18"/>
                <w:szCs w:val="18"/>
              </w:rPr>
              <w:t>添富价值</w:t>
            </w:r>
          </w:p>
        </w:tc>
        <w:tc>
          <w:tcPr>
            <w:tcW w:w="429" w:type="pct"/>
            <w:tcBorders>
              <w:top w:val="nil"/>
              <w:left w:val="nil"/>
              <w:bottom w:val="single" w:sz="4" w:space="0" w:color="auto"/>
              <w:right w:val="single" w:sz="4" w:space="0" w:color="auto"/>
            </w:tcBorders>
            <w:shd w:val="clear" w:color="auto" w:fill="auto"/>
            <w:noWrap/>
            <w:vAlign w:val="bottom"/>
          </w:tcPr>
          <w:p w:rsidR="007A2D23" w:rsidRPr="005B5148" w:rsidRDefault="00E921CB" w:rsidP="004539A3">
            <w:pPr>
              <w:widowControl/>
              <w:jc w:val="center"/>
              <w:rPr>
                <w:rFonts w:ascii="宋体" w:hAnsi="宋体" w:cs="宋体"/>
                <w:kern w:val="0"/>
                <w:sz w:val="18"/>
                <w:szCs w:val="18"/>
              </w:rPr>
            </w:pPr>
            <w:r>
              <w:rPr>
                <w:rFonts w:ascii="宋体" w:hAnsi="宋体" w:cs="宋体" w:hint="eastAsia"/>
                <w:kern w:val="0"/>
                <w:sz w:val="18"/>
                <w:szCs w:val="18"/>
              </w:rPr>
              <w:t>5</w:t>
            </w:r>
            <w:r w:rsidR="007A2D23">
              <w:rPr>
                <w:rFonts w:ascii="宋体" w:hAnsi="宋体" w:cs="宋体" w:hint="eastAsia"/>
                <w:kern w:val="0"/>
                <w:sz w:val="18"/>
                <w:szCs w:val="18"/>
              </w:rPr>
              <w:t>0</w:t>
            </w:r>
            <w:r w:rsidR="007A2D23" w:rsidRPr="005B5148">
              <w:rPr>
                <w:rFonts w:ascii="宋体" w:hAnsi="宋体" w:cs="宋体" w:hint="eastAsia"/>
                <w:kern w:val="0"/>
                <w:sz w:val="18"/>
                <w:szCs w:val="18"/>
              </w:rPr>
              <w:t>%</w:t>
            </w:r>
          </w:p>
        </w:tc>
        <w:tc>
          <w:tcPr>
            <w:tcW w:w="323" w:type="pct"/>
            <w:vMerge/>
            <w:tcBorders>
              <w:top w:val="single" w:sz="4" w:space="0" w:color="auto"/>
              <w:left w:val="single" w:sz="4" w:space="0" w:color="auto"/>
              <w:bottom w:val="single" w:sz="4" w:space="0" w:color="000000"/>
              <w:right w:val="single" w:sz="4" w:space="0" w:color="auto"/>
            </w:tcBorders>
            <w:vAlign w:val="center"/>
          </w:tcPr>
          <w:p w:rsidR="007A2D23" w:rsidRPr="005B5148" w:rsidRDefault="007A2D23" w:rsidP="004539A3">
            <w:pPr>
              <w:widowControl/>
              <w:jc w:val="left"/>
              <w:rPr>
                <w:rFonts w:ascii="宋体" w:hAnsi="宋体" w:cs="宋体"/>
                <w:kern w:val="0"/>
                <w:sz w:val="18"/>
                <w:szCs w:val="18"/>
              </w:rPr>
            </w:pPr>
          </w:p>
        </w:tc>
        <w:tc>
          <w:tcPr>
            <w:tcW w:w="960" w:type="pct"/>
            <w:tcBorders>
              <w:top w:val="nil"/>
              <w:left w:val="nil"/>
              <w:bottom w:val="single" w:sz="4" w:space="0" w:color="auto"/>
              <w:right w:val="single" w:sz="4" w:space="0" w:color="auto"/>
            </w:tcBorders>
            <w:shd w:val="clear" w:color="auto" w:fill="auto"/>
            <w:noWrap/>
            <w:vAlign w:val="bottom"/>
          </w:tcPr>
          <w:p w:rsidR="007A2D23" w:rsidRPr="005B5148" w:rsidRDefault="007A2D23" w:rsidP="00AC088F">
            <w:pPr>
              <w:widowControl/>
              <w:jc w:val="center"/>
              <w:rPr>
                <w:rFonts w:ascii="宋体" w:hAnsi="宋体" w:cs="宋体"/>
                <w:kern w:val="0"/>
                <w:sz w:val="18"/>
                <w:szCs w:val="18"/>
              </w:rPr>
            </w:pPr>
            <w:r w:rsidRPr="0037683F">
              <w:rPr>
                <w:rFonts w:ascii="宋体" w:hAnsi="宋体" w:cs="宋体" w:hint="eastAsia"/>
                <w:kern w:val="0"/>
                <w:sz w:val="18"/>
                <w:szCs w:val="18"/>
              </w:rPr>
              <w:t>添富价值</w:t>
            </w:r>
          </w:p>
        </w:tc>
        <w:tc>
          <w:tcPr>
            <w:tcW w:w="431" w:type="pct"/>
            <w:tcBorders>
              <w:top w:val="nil"/>
              <w:left w:val="nil"/>
              <w:bottom w:val="single" w:sz="4" w:space="0" w:color="auto"/>
              <w:right w:val="single" w:sz="4" w:space="0" w:color="auto"/>
            </w:tcBorders>
            <w:shd w:val="clear" w:color="auto" w:fill="auto"/>
            <w:noWrap/>
            <w:vAlign w:val="bottom"/>
          </w:tcPr>
          <w:p w:rsidR="007A2D23" w:rsidRPr="005B5148" w:rsidRDefault="007A2D23" w:rsidP="004539A3">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301" w:type="pct"/>
            <w:vMerge/>
            <w:tcBorders>
              <w:top w:val="single" w:sz="4" w:space="0" w:color="auto"/>
              <w:left w:val="single" w:sz="4" w:space="0" w:color="auto"/>
              <w:bottom w:val="single" w:sz="4" w:space="0" w:color="000000"/>
              <w:right w:val="single" w:sz="4" w:space="0" w:color="auto"/>
            </w:tcBorders>
            <w:vAlign w:val="center"/>
          </w:tcPr>
          <w:p w:rsidR="007A2D23" w:rsidRPr="005B5148" w:rsidRDefault="007A2D23" w:rsidP="004539A3">
            <w:pPr>
              <w:widowControl/>
              <w:jc w:val="left"/>
              <w:rPr>
                <w:rFonts w:ascii="宋体" w:hAnsi="宋体" w:cs="宋体"/>
                <w:kern w:val="0"/>
                <w:sz w:val="18"/>
                <w:szCs w:val="18"/>
              </w:rPr>
            </w:pPr>
          </w:p>
        </w:tc>
        <w:tc>
          <w:tcPr>
            <w:tcW w:w="932" w:type="pct"/>
            <w:tcBorders>
              <w:top w:val="nil"/>
              <w:left w:val="nil"/>
              <w:bottom w:val="single" w:sz="4" w:space="0" w:color="auto"/>
              <w:right w:val="single" w:sz="4" w:space="0" w:color="auto"/>
            </w:tcBorders>
            <w:shd w:val="clear" w:color="auto" w:fill="auto"/>
            <w:noWrap/>
            <w:vAlign w:val="bottom"/>
          </w:tcPr>
          <w:p w:rsidR="007A2D23" w:rsidRPr="005B5148" w:rsidRDefault="007A2D23" w:rsidP="004539A3">
            <w:pPr>
              <w:widowControl/>
              <w:jc w:val="center"/>
              <w:rPr>
                <w:rFonts w:ascii="宋体" w:hAnsi="宋体" w:cs="宋体"/>
                <w:kern w:val="0"/>
                <w:sz w:val="18"/>
                <w:szCs w:val="18"/>
              </w:rPr>
            </w:pPr>
            <w:r>
              <w:rPr>
                <w:rFonts w:ascii="宋体" w:hAnsi="宋体" w:cs="宋体" w:hint="eastAsia"/>
                <w:kern w:val="0"/>
                <w:sz w:val="18"/>
                <w:szCs w:val="18"/>
              </w:rPr>
              <w:t>华夏现金</w:t>
            </w:r>
          </w:p>
        </w:tc>
        <w:tc>
          <w:tcPr>
            <w:tcW w:w="429" w:type="pct"/>
            <w:tcBorders>
              <w:top w:val="nil"/>
              <w:left w:val="nil"/>
              <w:bottom w:val="single" w:sz="4" w:space="0" w:color="auto"/>
              <w:right w:val="single" w:sz="4" w:space="0" w:color="auto"/>
            </w:tcBorders>
            <w:shd w:val="clear" w:color="auto" w:fill="auto"/>
            <w:noWrap/>
            <w:vAlign w:val="bottom"/>
          </w:tcPr>
          <w:p w:rsidR="007A2D23" w:rsidRPr="005B5148" w:rsidRDefault="007A2D23" w:rsidP="004539A3">
            <w:pPr>
              <w:widowControl/>
              <w:jc w:val="center"/>
              <w:rPr>
                <w:rFonts w:ascii="宋体" w:hAnsi="宋体" w:cs="宋体"/>
                <w:kern w:val="0"/>
                <w:sz w:val="18"/>
                <w:szCs w:val="18"/>
              </w:rPr>
            </w:pPr>
            <w:r w:rsidRPr="005B5148">
              <w:rPr>
                <w:rFonts w:ascii="宋体" w:hAnsi="宋体" w:cs="宋体" w:hint="eastAsia"/>
                <w:kern w:val="0"/>
                <w:sz w:val="18"/>
                <w:szCs w:val="18"/>
              </w:rPr>
              <w:t>35%</w:t>
            </w:r>
          </w:p>
        </w:tc>
      </w:tr>
      <w:tr w:rsidR="00B149DD" w:rsidRPr="005B5148" w:rsidTr="00B149DD">
        <w:trPr>
          <w:trHeight w:val="285"/>
          <w:jc w:val="center"/>
        </w:trPr>
        <w:tc>
          <w:tcPr>
            <w:tcW w:w="1196" w:type="pct"/>
            <w:tcBorders>
              <w:top w:val="nil"/>
              <w:left w:val="single" w:sz="4" w:space="0" w:color="auto"/>
              <w:bottom w:val="single" w:sz="4" w:space="0" w:color="auto"/>
              <w:right w:val="single" w:sz="4" w:space="0" w:color="auto"/>
            </w:tcBorders>
            <w:shd w:val="clear" w:color="auto" w:fill="auto"/>
            <w:noWrap/>
            <w:vAlign w:val="bottom"/>
          </w:tcPr>
          <w:p w:rsidR="00B149DD" w:rsidRPr="005B5148" w:rsidRDefault="00B149DD" w:rsidP="000129DA">
            <w:pPr>
              <w:jc w:val="center"/>
              <w:rPr>
                <w:rFonts w:ascii="宋体" w:hAnsi="宋体" w:cs="宋体"/>
                <w:kern w:val="0"/>
                <w:sz w:val="18"/>
                <w:szCs w:val="18"/>
              </w:rPr>
            </w:pPr>
            <w:r>
              <w:rPr>
                <w:rFonts w:hint="eastAsia"/>
                <w:sz w:val="18"/>
                <w:szCs w:val="18"/>
              </w:rPr>
              <w:t>国泰纳斯达克</w:t>
            </w:r>
            <w:r>
              <w:rPr>
                <w:rFonts w:hint="eastAsia"/>
                <w:sz w:val="18"/>
                <w:szCs w:val="18"/>
              </w:rPr>
              <w:t>100</w:t>
            </w:r>
          </w:p>
        </w:tc>
        <w:tc>
          <w:tcPr>
            <w:tcW w:w="429" w:type="pct"/>
            <w:tcBorders>
              <w:top w:val="nil"/>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c>
          <w:tcPr>
            <w:tcW w:w="323" w:type="pct"/>
            <w:vMerge/>
            <w:tcBorders>
              <w:top w:val="single" w:sz="4"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60" w:type="pct"/>
            <w:tcBorders>
              <w:top w:val="nil"/>
              <w:left w:val="nil"/>
              <w:bottom w:val="single" w:sz="4" w:space="0" w:color="auto"/>
              <w:right w:val="single" w:sz="4" w:space="0" w:color="auto"/>
            </w:tcBorders>
            <w:shd w:val="clear" w:color="auto" w:fill="auto"/>
            <w:noWrap/>
            <w:vAlign w:val="bottom"/>
          </w:tcPr>
          <w:p w:rsidR="00B149DD" w:rsidRPr="005B5148" w:rsidRDefault="00B149DD" w:rsidP="00F84017">
            <w:pPr>
              <w:widowControl/>
              <w:jc w:val="center"/>
              <w:rPr>
                <w:rFonts w:ascii="宋体" w:hAnsi="宋体" w:cs="宋体"/>
                <w:kern w:val="0"/>
                <w:sz w:val="18"/>
                <w:szCs w:val="18"/>
              </w:rPr>
            </w:pPr>
            <w:r>
              <w:rPr>
                <w:rFonts w:ascii="宋体" w:hAnsi="宋体" w:cs="宋体" w:hint="eastAsia"/>
                <w:kern w:val="0"/>
                <w:sz w:val="18"/>
                <w:szCs w:val="18"/>
              </w:rPr>
              <w:t>天弘永利B</w:t>
            </w:r>
          </w:p>
        </w:tc>
        <w:tc>
          <w:tcPr>
            <w:tcW w:w="431" w:type="pct"/>
            <w:tcBorders>
              <w:top w:val="nil"/>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Pr>
                <w:rFonts w:ascii="宋体" w:hAnsi="宋体" w:cs="宋体" w:hint="eastAsia"/>
                <w:kern w:val="0"/>
                <w:sz w:val="18"/>
                <w:szCs w:val="18"/>
              </w:rPr>
              <w:t>5</w:t>
            </w:r>
            <w:r w:rsidRPr="005B5148">
              <w:rPr>
                <w:rFonts w:ascii="宋体" w:hAnsi="宋体" w:cs="宋体" w:hint="eastAsia"/>
                <w:kern w:val="0"/>
                <w:sz w:val="18"/>
                <w:szCs w:val="18"/>
              </w:rPr>
              <w:t>0%</w:t>
            </w:r>
          </w:p>
        </w:tc>
        <w:tc>
          <w:tcPr>
            <w:tcW w:w="301" w:type="pct"/>
            <w:vMerge/>
            <w:tcBorders>
              <w:top w:val="single" w:sz="4" w:space="0" w:color="auto"/>
              <w:left w:val="single" w:sz="4" w:space="0" w:color="auto"/>
              <w:bottom w:val="single" w:sz="4" w:space="0" w:color="000000"/>
              <w:right w:val="single" w:sz="4" w:space="0" w:color="auto"/>
            </w:tcBorders>
            <w:vAlign w:val="center"/>
          </w:tcPr>
          <w:p w:rsidR="00B149DD" w:rsidRPr="005B5148" w:rsidRDefault="00B149DD" w:rsidP="004539A3">
            <w:pPr>
              <w:widowControl/>
              <w:jc w:val="left"/>
              <w:rPr>
                <w:rFonts w:ascii="宋体" w:hAnsi="宋体" w:cs="宋体"/>
                <w:kern w:val="0"/>
                <w:sz w:val="18"/>
                <w:szCs w:val="18"/>
              </w:rPr>
            </w:pPr>
          </w:p>
        </w:tc>
        <w:tc>
          <w:tcPr>
            <w:tcW w:w="932" w:type="pct"/>
            <w:tcBorders>
              <w:top w:val="nil"/>
              <w:left w:val="nil"/>
              <w:bottom w:val="single" w:sz="4" w:space="0" w:color="auto"/>
              <w:right w:val="single" w:sz="4" w:space="0" w:color="auto"/>
            </w:tcBorders>
            <w:shd w:val="clear" w:color="auto" w:fill="auto"/>
            <w:noWrap/>
            <w:vAlign w:val="bottom"/>
          </w:tcPr>
          <w:p w:rsidR="00B149DD" w:rsidRPr="0017543C" w:rsidRDefault="00B149DD" w:rsidP="004539A3">
            <w:pPr>
              <w:widowControl/>
              <w:jc w:val="center"/>
              <w:rPr>
                <w:rFonts w:ascii="宋体" w:hAnsi="宋体" w:cs="宋体"/>
                <w:kern w:val="0"/>
                <w:sz w:val="18"/>
                <w:szCs w:val="18"/>
              </w:rPr>
            </w:pPr>
            <w:r w:rsidRPr="0017543C">
              <w:rPr>
                <w:rFonts w:ascii="宋体" w:hAnsi="宋体" w:cs="宋体" w:hint="eastAsia"/>
                <w:kern w:val="0"/>
                <w:sz w:val="18"/>
                <w:szCs w:val="18"/>
              </w:rPr>
              <w:t>广发货币B</w:t>
            </w:r>
          </w:p>
        </w:tc>
        <w:tc>
          <w:tcPr>
            <w:tcW w:w="429" w:type="pct"/>
            <w:tcBorders>
              <w:top w:val="nil"/>
              <w:left w:val="nil"/>
              <w:bottom w:val="single" w:sz="4" w:space="0" w:color="auto"/>
              <w:right w:val="single" w:sz="4" w:space="0" w:color="auto"/>
            </w:tcBorders>
            <w:shd w:val="clear" w:color="auto" w:fill="auto"/>
            <w:noWrap/>
            <w:vAlign w:val="bottom"/>
          </w:tcPr>
          <w:p w:rsidR="00B149DD" w:rsidRPr="005B5148" w:rsidRDefault="00B149DD" w:rsidP="004539A3">
            <w:pPr>
              <w:widowControl/>
              <w:jc w:val="center"/>
              <w:rPr>
                <w:rFonts w:ascii="宋体" w:hAnsi="宋体" w:cs="宋体"/>
                <w:kern w:val="0"/>
                <w:sz w:val="18"/>
                <w:szCs w:val="18"/>
              </w:rPr>
            </w:pPr>
            <w:r w:rsidRPr="005B5148">
              <w:rPr>
                <w:rFonts w:ascii="宋体" w:hAnsi="宋体" w:cs="宋体" w:hint="eastAsia"/>
                <w:kern w:val="0"/>
                <w:sz w:val="18"/>
                <w:szCs w:val="18"/>
              </w:rPr>
              <w:t>3</w:t>
            </w:r>
            <w:r>
              <w:rPr>
                <w:rFonts w:ascii="宋体" w:hAnsi="宋体" w:cs="宋体" w:hint="eastAsia"/>
                <w:kern w:val="0"/>
                <w:sz w:val="18"/>
                <w:szCs w:val="18"/>
              </w:rPr>
              <w:t>5</w:t>
            </w:r>
            <w:r w:rsidRPr="005B5148">
              <w:rPr>
                <w:rFonts w:ascii="宋体" w:hAnsi="宋体" w:cs="宋体" w:hint="eastAsia"/>
                <w:kern w:val="0"/>
                <w:sz w:val="18"/>
                <w:szCs w:val="18"/>
              </w:rPr>
              <w:t>%</w:t>
            </w:r>
          </w:p>
        </w:tc>
      </w:tr>
    </w:tbl>
    <w:p w:rsidR="000B4882" w:rsidRPr="000B4882" w:rsidRDefault="000B4882" w:rsidP="000B4882">
      <w:pPr>
        <w:ind w:firstLine="420"/>
        <w:rPr>
          <w:rFonts w:ascii="楷体_GB2312" w:eastAsia="楷体_GB2312"/>
          <w:noProof/>
          <w:color w:val="000000"/>
        </w:rPr>
        <w:sectPr w:rsidR="000B4882" w:rsidRPr="000B4882" w:rsidSect="00C24609">
          <w:headerReference w:type="default" r:id="rId10"/>
          <w:footerReference w:type="even" r:id="rId11"/>
          <w:footerReference w:type="default" r:id="rId12"/>
          <w:pgSz w:w="11906" w:h="16838"/>
          <w:pgMar w:top="3402" w:right="851" w:bottom="1418" w:left="4536" w:header="851" w:footer="992" w:gutter="0"/>
          <w:cols w:space="425"/>
          <w:docGrid w:type="lines" w:linePitch="312"/>
        </w:sectPr>
      </w:pPr>
    </w:p>
    <w:p w:rsidR="001E3B52" w:rsidRPr="007C1C3D" w:rsidRDefault="001E3B52" w:rsidP="00DC2903">
      <w:pPr>
        <w:spacing w:beforeLines="100" w:afterLines="50"/>
        <w:ind w:firstLineChars="1000" w:firstLine="2811"/>
        <w:rPr>
          <w:rFonts w:ascii="黑体" w:eastAsia="黑体" w:hAnsi="宋体-18030" w:cs="宋体-18030"/>
          <w:b/>
          <w:bCs/>
          <w:color w:val="000000"/>
          <w:kern w:val="44"/>
          <w:sz w:val="28"/>
          <w:szCs w:val="28"/>
        </w:rPr>
      </w:pPr>
      <w:r>
        <w:rPr>
          <w:rFonts w:ascii="黑体" w:eastAsia="黑体" w:hAnsi="宋体-18030" w:cs="宋体-18030" w:hint="eastAsia"/>
          <w:b/>
          <w:bCs/>
          <w:color w:val="000000"/>
          <w:kern w:val="44"/>
          <w:sz w:val="28"/>
          <w:szCs w:val="28"/>
        </w:rPr>
        <w:lastRenderedPageBreak/>
        <w:t>一、</w:t>
      </w:r>
      <w:r w:rsidRPr="007C1C3D">
        <w:rPr>
          <w:rFonts w:ascii="黑体" w:eastAsia="黑体" w:hAnsi="宋体-18030" w:cs="宋体-18030" w:hint="eastAsia"/>
          <w:b/>
          <w:bCs/>
          <w:color w:val="000000"/>
          <w:kern w:val="44"/>
          <w:sz w:val="28"/>
          <w:szCs w:val="28"/>
        </w:rPr>
        <w:t xml:space="preserve">基金投资策略 </w:t>
      </w:r>
    </w:p>
    <w:p w:rsidR="001E3B52" w:rsidRPr="005E4592" w:rsidRDefault="001E3B52" w:rsidP="00DC2903">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（一）</w:t>
      </w:r>
      <w:r w:rsidR="004938DD" w:rsidRPr="005E4592">
        <w:rPr>
          <w:rFonts w:ascii="黑体" w:eastAsia="黑体" w:hAnsi="宋体-18030" w:cs="宋体-18030" w:hint="eastAsia"/>
          <w:b/>
          <w:bCs/>
          <w:color w:val="003366"/>
          <w:kern w:val="44"/>
          <w:sz w:val="24"/>
        </w:rPr>
        <w:t>基础市场分析：</w:t>
      </w:r>
      <w:r w:rsidR="00E140EA">
        <w:rPr>
          <w:rFonts w:ascii="黑体" w:eastAsia="黑体" w:hAnsi="宋体-18030" w:cs="宋体-18030" w:hint="eastAsia"/>
          <w:b/>
          <w:bCs/>
          <w:color w:val="003366"/>
          <w:kern w:val="44"/>
          <w:sz w:val="24"/>
        </w:rPr>
        <w:t>经济向下政策向上</w:t>
      </w:r>
      <w:r w:rsidRPr="005E4592">
        <w:rPr>
          <w:rFonts w:ascii="黑体" w:eastAsia="黑体" w:hAnsi="宋体-18030" w:cs="宋体-18030" w:hint="eastAsia"/>
          <w:b/>
          <w:bCs/>
          <w:color w:val="003366"/>
          <w:kern w:val="44"/>
          <w:sz w:val="24"/>
        </w:rPr>
        <w:t>，</w:t>
      </w:r>
      <w:r w:rsidR="00E140EA">
        <w:rPr>
          <w:rFonts w:ascii="黑体" w:eastAsia="黑体" w:hAnsi="宋体-18030" w:cs="宋体-18030" w:hint="eastAsia"/>
          <w:b/>
          <w:bCs/>
          <w:color w:val="003366"/>
          <w:kern w:val="44"/>
          <w:sz w:val="24"/>
        </w:rPr>
        <w:t>热点转向传统支柱性板块</w:t>
      </w:r>
    </w:p>
    <w:p w:rsidR="00851E22" w:rsidRDefault="00E0702B" w:rsidP="00851E22">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3月份全球经济维持复苏趋势</w:t>
      </w:r>
      <w:r w:rsidR="00676E2C">
        <w:rPr>
          <w:rFonts w:ascii="楷体_GB2312" w:eastAsia="楷体_GB2312" w:hAnsi="宋体" w:cs="宋体" w:hint="eastAsia"/>
          <w:kern w:val="0"/>
          <w:szCs w:val="21"/>
        </w:rPr>
        <w:t>。</w:t>
      </w:r>
      <w:r w:rsidR="007D1A3D">
        <w:rPr>
          <w:rFonts w:ascii="楷体_GB2312" w:eastAsia="楷体_GB2312" w:hAnsi="宋体" w:cs="宋体" w:hint="eastAsia"/>
          <w:kern w:val="0"/>
          <w:szCs w:val="21"/>
        </w:rPr>
        <w:t>但欧元区物价</w:t>
      </w:r>
      <w:r w:rsidR="00AC58CD">
        <w:rPr>
          <w:rFonts w:ascii="楷体_GB2312" w:eastAsia="楷体_GB2312" w:hAnsi="宋体" w:cs="宋体" w:hint="eastAsia"/>
          <w:kern w:val="0"/>
          <w:szCs w:val="21"/>
        </w:rPr>
        <w:t>正在不断</w:t>
      </w:r>
      <w:r w:rsidR="007D1A3D">
        <w:rPr>
          <w:rFonts w:ascii="楷体_GB2312" w:eastAsia="楷体_GB2312" w:hAnsi="宋体" w:cs="宋体" w:hint="eastAsia"/>
          <w:kern w:val="0"/>
          <w:szCs w:val="21"/>
        </w:rPr>
        <w:t>滑向通缩，</w:t>
      </w:r>
      <w:hyperlink r:id="rId13" w:tgtFrame="_blank" w:history="1">
        <w:r w:rsidR="00676E2C" w:rsidRPr="00AC58CD">
          <w:rPr>
            <w:rFonts w:ascii="楷体_GB2312" w:eastAsia="楷体_GB2312" w:hAnsi="宋体" w:cs="宋体" w:hint="eastAsia"/>
            <w:kern w:val="0"/>
            <w:szCs w:val="21"/>
          </w:rPr>
          <w:t>欧元</w:t>
        </w:r>
      </w:hyperlink>
      <w:r w:rsidR="00676E2C" w:rsidRPr="00AC58CD">
        <w:rPr>
          <w:rFonts w:ascii="楷体_GB2312" w:eastAsia="楷体_GB2312" w:hAnsi="宋体" w:cs="宋体" w:hint="eastAsia"/>
          <w:kern w:val="0"/>
          <w:szCs w:val="21"/>
        </w:rPr>
        <w:t>区3月通胀率甚至降至52个月低点，</w:t>
      </w:r>
      <w:r w:rsidR="008863A9">
        <w:rPr>
          <w:rFonts w:ascii="楷体_GB2312" w:eastAsia="楷体_GB2312" w:hAnsi="宋体" w:cs="宋体" w:hint="eastAsia"/>
          <w:kern w:val="0"/>
          <w:szCs w:val="21"/>
        </w:rPr>
        <w:t>这对</w:t>
      </w:r>
      <w:r w:rsidR="005079B0">
        <w:rPr>
          <w:rFonts w:ascii="楷体_GB2312" w:eastAsia="楷体_GB2312" w:hAnsi="宋体" w:cs="宋体" w:hint="eastAsia"/>
          <w:kern w:val="0"/>
          <w:szCs w:val="21"/>
        </w:rPr>
        <w:t>欧元区经济复苏</w:t>
      </w:r>
      <w:r w:rsidR="008863A9">
        <w:rPr>
          <w:rFonts w:ascii="楷体_GB2312" w:eastAsia="楷体_GB2312" w:hAnsi="宋体" w:cs="宋体" w:hint="eastAsia"/>
          <w:kern w:val="0"/>
          <w:szCs w:val="21"/>
        </w:rPr>
        <w:t>形成一定威胁</w:t>
      </w:r>
      <w:r w:rsidR="00103A2B">
        <w:rPr>
          <w:rFonts w:ascii="楷体_GB2312" w:eastAsia="楷体_GB2312" w:hAnsi="宋体" w:cs="宋体" w:hint="eastAsia"/>
          <w:kern w:val="0"/>
          <w:szCs w:val="21"/>
        </w:rPr>
        <w:t>。美国</w:t>
      </w:r>
      <w:r w:rsidR="00676E2C">
        <w:rPr>
          <w:rFonts w:ascii="楷体_GB2312" w:eastAsia="楷体_GB2312" w:hAnsi="宋体" w:cs="宋体" w:hint="eastAsia"/>
          <w:kern w:val="0"/>
          <w:szCs w:val="21"/>
        </w:rPr>
        <w:t>经济显得更为乐观，</w:t>
      </w:r>
      <w:r w:rsidR="003F08C1">
        <w:rPr>
          <w:rFonts w:ascii="楷体_GB2312" w:eastAsia="楷体_GB2312" w:hAnsi="宋体" w:cs="宋体" w:hint="eastAsia"/>
          <w:kern w:val="0"/>
          <w:szCs w:val="21"/>
        </w:rPr>
        <w:t>美国制造业和房地产持续扩张</w:t>
      </w:r>
      <w:r w:rsidR="00FF64DD">
        <w:rPr>
          <w:rFonts w:ascii="楷体_GB2312" w:eastAsia="楷体_GB2312" w:hAnsi="宋体" w:cs="宋体" w:hint="eastAsia"/>
          <w:kern w:val="0"/>
          <w:szCs w:val="21"/>
        </w:rPr>
        <w:t>，显示出</w:t>
      </w:r>
      <w:r w:rsidR="005011AC">
        <w:rPr>
          <w:rFonts w:ascii="楷体_GB2312" w:eastAsia="楷体_GB2312" w:hAnsi="宋体" w:cs="宋体" w:hint="eastAsia"/>
          <w:kern w:val="0"/>
          <w:szCs w:val="21"/>
        </w:rPr>
        <w:t>随着天气</w:t>
      </w:r>
      <w:r w:rsidR="00FF64DD">
        <w:rPr>
          <w:rFonts w:ascii="楷体_GB2312" w:eastAsia="楷体_GB2312" w:hAnsi="宋体" w:cs="宋体" w:hint="eastAsia"/>
          <w:kern w:val="0"/>
          <w:szCs w:val="21"/>
        </w:rPr>
        <w:t>转暖</w:t>
      </w:r>
      <w:r w:rsidR="005011AC">
        <w:rPr>
          <w:rFonts w:ascii="楷体_GB2312" w:eastAsia="楷体_GB2312" w:hAnsi="宋体" w:cs="宋体" w:hint="eastAsia"/>
          <w:kern w:val="0"/>
          <w:szCs w:val="21"/>
        </w:rPr>
        <w:t>，美国经济再度走上快速复苏通道。经济的健康发展为金融市场的稳定奠定了基础。</w:t>
      </w:r>
      <w:r w:rsidR="00851E22">
        <w:rPr>
          <w:rFonts w:ascii="楷体_GB2312" w:eastAsia="楷体_GB2312" w:hAnsi="宋体" w:cs="宋体" w:hint="eastAsia"/>
          <w:kern w:val="0"/>
          <w:szCs w:val="21"/>
        </w:rPr>
        <w:t>随着国际市场对乌克兰危机逐渐消化，全球金融市场有望继续向上。</w:t>
      </w:r>
    </w:p>
    <w:p w:rsidR="001E3B52" w:rsidRDefault="00E140EA" w:rsidP="00E140EA">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美国货币政策阴影下，中国资本流出在三月份已经初见端倪，我们</w:t>
      </w:r>
      <w:r w:rsidR="006B5FBC">
        <w:rPr>
          <w:rFonts w:ascii="楷体_GB2312" w:eastAsia="楷体_GB2312" w:hAnsi="宋体" w:cs="宋体" w:hint="eastAsia"/>
          <w:kern w:val="0"/>
          <w:szCs w:val="21"/>
        </w:rPr>
        <w:t>预计未来较长一段时间内仍将冲击金融市场</w:t>
      </w:r>
      <w:r w:rsidR="0032794A">
        <w:rPr>
          <w:rFonts w:ascii="楷体_GB2312" w:eastAsia="楷体_GB2312" w:hAnsi="宋体" w:cs="宋体" w:hint="eastAsia"/>
          <w:kern w:val="0"/>
          <w:szCs w:val="21"/>
        </w:rPr>
        <w:t>稳定；持续疲</w:t>
      </w:r>
      <w:r w:rsidR="000F47BA">
        <w:rPr>
          <w:rFonts w:ascii="楷体_GB2312" w:eastAsia="楷体_GB2312" w:hAnsi="宋体" w:cs="宋体" w:hint="eastAsia"/>
          <w:kern w:val="0"/>
          <w:szCs w:val="21"/>
        </w:rPr>
        <w:t>软的经济形势也制约着股市</w:t>
      </w:r>
      <w:r w:rsidR="0032794A">
        <w:rPr>
          <w:rFonts w:ascii="楷体_GB2312" w:eastAsia="楷体_GB2312" w:hAnsi="宋体" w:cs="宋体" w:hint="eastAsia"/>
          <w:kern w:val="0"/>
          <w:szCs w:val="21"/>
        </w:rPr>
        <w:t>走强；IPO重启进</w:t>
      </w:r>
      <w:r w:rsidR="00DC2903" w:rsidRPr="00DC2903">
        <w:rPr>
          <w:rFonts w:ascii="楷体_GB2312" w:eastAsia="楷体_GB2312" w:hAnsi="宋体" w:cs="宋体" w:hint="eastAsia"/>
          <w:kern w:val="0"/>
          <w:szCs w:val="21"/>
        </w:rPr>
        <w:t>一步加重市场压力。受经济下行影响，政府确保增长和就业的压力增大，政策放松的预期逐渐得以强化，从而支撑股市维持活跃，市场热点或将转向传统支柱型产业板块。</w:t>
      </w:r>
    </w:p>
    <w:p w:rsidR="001E3B52" w:rsidRPr="005E4592" w:rsidRDefault="001E3B52" w:rsidP="00DC2903">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（二）</w:t>
      </w:r>
      <w:r w:rsidR="004938DD" w:rsidRPr="005E4592">
        <w:rPr>
          <w:rFonts w:ascii="黑体" w:eastAsia="黑体" w:hAnsi="宋体-18030" w:cs="宋体-18030" w:hint="eastAsia"/>
          <w:b/>
          <w:bCs/>
          <w:color w:val="003366"/>
          <w:kern w:val="44"/>
          <w:sz w:val="24"/>
        </w:rPr>
        <w:t>基金投资策略：</w:t>
      </w:r>
      <w:r w:rsidR="005A496F">
        <w:rPr>
          <w:rFonts w:ascii="黑体" w:eastAsia="黑体" w:hAnsi="宋体-18030" w:cs="宋体-18030" w:hint="eastAsia"/>
          <w:b/>
          <w:bCs/>
          <w:color w:val="003366"/>
          <w:kern w:val="44"/>
          <w:sz w:val="24"/>
        </w:rPr>
        <w:t>风险维持中性，风格偏向价值</w:t>
      </w:r>
    </w:p>
    <w:p w:rsidR="00CB03D0" w:rsidRPr="00CB03D0" w:rsidRDefault="00844280" w:rsidP="00DC2903">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预期</w:t>
      </w:r>
      <w:r w:rsidR="00CB03D0" w:rsidRPr="00CB03D0">
        <w:rPr>
          <w:rFonts w:ascii="楷体_GB2312" w:eastAsia="楷体_GB2312" w:hAnsi="宋体" w:cs="宋体" w:hint="eastAsia"/>
          <w:kern w:val="0"/>
          <w:szCs w:val="21"/>
        </w:rPr>
        <w:t>后期市场</w:t>
      </w:r>
      <w:r w:rsidR="000131EA">
        <w:rPr>
          <w:rFonts w:ascii="楷体_GB2312" w:eastAsia="楷体_GB2312" w:hAnsi="宋体" w:cs="宋体" w:hint="eastAsia"/>
          <w:kern w:val="0"/>
          <w:szCs w:val="21"/>
        </w:rPr>
        <w:t>仍然围绕着</w:t>
      </w:r>
      <w:r w:rsidR="00CB03D0" w:rsidRPr="00CB03D0">
        <w:rPr>
          <w:rFonts w:ascii="楷体_GB2312" w:eastAsia="楷体_GB2312" w:hAnsi="宋体" w:cs="宋体" w:hint="eastAsia"/>
          <w:kern w:val="0"/>
          <w:szCs w:val="21"/>
        </w:rPr>
        <w:t>“经济</w:t>
      </w:r>
      <w:r w:rsidR="000131EA">
        <w:rPr>
          <w:rFonts w:ascii="楷体_GB2312" w:eastAsia="楷体_GB2312" w:hAnsi="宋体" w:cs="宋体" w:hint="eastAsia"/>
          <w:kern w:val="0"/>
          <w:szCs w:val="21"/>
        </w:rPr>
        <w:t>向下”和“政策向上</w:t>
      </w:r>
      <w:r w:rsidR="00CB03D0" w:rsidRPr="00CB03D0">
        <w:rPr>
          <w:rFonts w:ascii="楷体_GB2312" w:eastAsia="楷体_GB2312" w:hAnsi="宋体" w:cs="宋体" w:hint="eastAsia"/>
          <w:kern w:val="0"/>
          <w:szCs w:val="21"/>
        </w:rPr>
        <w:t>”</w:t>
      </w:r>
      <w:r w:rsidR="000131EA">
        <w:rPr>
          <w:rFonts w:ascii="楷体_GB2312" w:eastAsia="楷体_GB2312" w:hAnsi="宋体" w:cs="宋体" w:hint="eastAsia"/>
          <w:kern w:val="0"/>
          <w:szCs w:val="21"/>
        </w:rPr>
        <w:t>波动</w:t>
      </w:r>
      <w:r w:rsidR="00CB03D0" w:rsidRPr="00CB03D0">
        <w:rPr>
          <w:rFonts w:ascii="楷体_GB2312" w:eastAsia="楷体_GB2312" w:hAnsi="宋体" w:cs="宋体" w:hint="eastAsia"/>
          <w:kern w:val="0"/>
          <w:szCs w:val="21"/>
        </w:rPr>
        <w:t>，中短期内震荡和结构性行情</w:t>
      </w:r>
      <w:r w:rsidR="000131EA">
        <w:rPr>
          <w:rFonts w:ascii="楷体_GB2312" w:eastAsia="楷体_GB2312" w:hAnsi="宋体" w:cs="宋体" w:hint="eastAsia"/>
          <w:kern w:val="0"/>
          <w:szCs w:val="21"/>
        </w:rPr>
        <w:t>仍然是主基调。我们坚持认为</w:t>
      </w:r>
      <w:r w:rsidR="00CB03D0" w:rsidRPr="00CB03D0">
        <w:rPr>
          <w:rFonts w:ascii="楷体_GB2312" w:eastAsia="楷体_GB2312" w:hAnsi="宋体" w:cs="宋体" w:hint="eastAsia"/>
          <w:kern w:val="0"/>
          <w:szCs w:val="21"/>
        </w:rPr>
        <w:t>低廉的市场估值和中国经济转型的推进为</w:t>
      </w:r>
      <w:r>
        <w:rPr>
          <w:rFonts w:ascii="楷体_GB2312" w:eastAsia="楷体_GB2312" w:hAnsi="宋体" w:cs="宋体" w:hint="eastAsia"/>
          <w:kern w:val="0"/>
          <w:szCs w:val="21"/>
        </w:rPr>
        <w:t>股票</w:t>
      </w:r>
      <w:r w:rsidR="00CB03D0" w:rsidRPr="00CB03D0">
        <w:rPr>
          <w:rFonts w:ascii="楷体_GB2312" w:eastAsia="楷体_GB2312" w:hAnsi="宋体" w:cs="宋体" w:hint="eastAsia"/>
          <w:kern w:val="0"/>
          <w:szCs w:val="21"/>
        </w:rPr>
        <w:t>市场奠定了长期投资的价值基础。</w:t>
      </w:r>
      <w:r w:rsidR="00F442B3">
        <w:rPr>
          <w:rFonts w:ascii="楷体_GB2312" w:eastAsia="楷体_GB2312" w:hAnsi="宋体" w:cs="宋体" w:hint="eastAsia"/>
          <w:kern w:val="0"/>
          <w:szCs w:val="21"/>
        </w:rPr>
        <w:t>维持上期建议：</w:t>
      </w:r>
      <w:r w:rsidR="00CB03D0" w:rsidRPr="00CB03D0">
        <w:rPr>
          <w:rFonts w:ascii="楷体_GB2312" w:eastAsia="楷体_GB2312" w:hAnsi="宋体" w:cs="宋体" w:hint="eastAsia"/>
          <w:kern w:val="0"/>
          <w:szCs w:val="21"/>
        </w:rPr>
        <w:t>高风险偏好的投资者和阶段性投资者密切关注政策主题，积极把握短期市场结构性机会；建议中低风险投资者和配置型投资者均衡布局，把握股市长期投资价值。</w:t>
      </w:r>
    </w:p>
    <w:p w:rsidR="00F442B3" w:rsidRPr="00F442B3" w:rsidRDefault="00CB03D0" w:rsidP="00DC2903">
      <w:pPr>
        <w:spacing w:beforeLines="50"/>
        <w:ind w:leftChars="1350" w:left="2835" w:firstLineChars="202" w:firstLine="424"/>
        <w:rPr>
          <w:rFonts w:ascii="楷体_GB2312" w:eastAsia="楷体_GB2312" w:hAnsi="宋体" w:cs="宋体" w:hint="eastAsia"/>
          <w:kern w:val="0"/>
          <w:szCs w:val="21"/>
        </w:rPr>
      </w:pPr>
      <w:r w:rsidRPr="00CB03D0">
        <w:rPr>
          <w:rFonts w:ascii="楷体_GB2312" w:eastAsia="楷体_GB2312" w:hAnsi="宋体" w:cs="宋体" w:hint="eastAsia"/>
          <w:kern w:val="0"/>
          <w:szCs w:val="21"/>
        </w:rPr>
        <w:t>权益类基金方面，</w:t>
      </w:r>
      <w:r w:rsidR="008F4DC0">
        <w:rPr>
          <w:rFonts w:ascii="楷体_GB2312" w:eastAsia="楷体_GB2312" w:hAnsi="宋体" w:cs="宋体" w:hint="eastAsia"/>
          <w:kern w:val="0"/>
          <w:szCs w:val="21"/>
        </w:rPr>
        <w:t>建议投资者</w:t>
      </w:r>
      <w:r w:rsidR="00F442B3" w:rsidRPr="00F442B3">
        <w:rPr>
          <w:rFonts w:ascii="楷体_GB2312" w:eastAsia="楷体_GB2312" w:hAnsi="宋体" w:cs="宋体" w:hint="eastAsia"/>
          <w:kern w:val="0"/>
          <w:szCs w:val="21"/>
        </w:rPr>
        <w:t>维持</w:t>
      </w:r>
      <w:r w:rsidR="00844280">
        <w:rPr>
          <w:rFonts w:ascii="楷体_GB2312" w:eastAsia="楷体_GB2312" w:hAnsi="宋体" w:cs="宋体" w:hint="eastAsia"/>
          <w:kern w:val="0"/>
          <w:szCs w:val="21"/>
        </w:rPr>
        <w:t>风险</w:t>
      </w:r>
      <w:r w:rsidR="00F442B3" w:rsidRPr="00F442B3">
        <w:rPr>
          <w:rFonts w:ascii="楷体_GB2312" w:eastAsia="楷体_GB2312" w:hAnsi="宋体" w:cs="宋体" w:hint="eastAsia"/>
          <w:kern w:val="0"/>
          <w:szCs w:val="21"/>
        </w:rPr>
        <w:t>中性</w:t>
      </w:r>
      <w:r w:rsidR="00844280">
        <w:rPr>
          <w:rFonts w:ascii="楷体_GB2312" w:eastAsia="楷体_GB2312" w:hAnsi="宋体" w:cs="宋体" w:hint="eastAsia"/>
          <w:kern w:val="0"/>
          <w:szCs w:val="21"/>
        </w:rPr>
        <w:t>的</w:t>
      </w:r>
      <w:r w:rsidR="00F442B3" w:rsidRPr="00F442B3">
        <w:rPr>
          <w:rFonts w:ascii="楷体_GB2312" w:eastAsia="楷体_GB2312" w:hAnsi="宋体" w:cs="宋体" w:hint="eastAsia"/>
          <w:kern w:val="0"/>
          <w:szCs w:val="21"/>
        </w:rPr>
        <w:t>配置</w:t>
      </w:r>
      <w:r w:rsidR="00844280">
        <w:rPr>
          <w:rFonts w:ascii="楷体_GB2312" w:eastAsia="楷体_GB2312" w:hAnsi="宋体" w:cs="宋体" w:hint="eastAsia"/>
          <w:kern w:val="0"/>
          <w:szCs w:val="21"/>
        </w:rPr>
        <w:t>结构</w:t>
      </w:r>
      <w:r w:rsidR="00F442B3" w:rsidRPr="00F442B3">
        <w:rPr>
          <w:rFonts w:ascii="楷体_GB2312" w:eastAsia="楷体_GB2312" w:hAnsi="宋体" w:cs="宋体" w:hint="eastAsia"/>
          <w:kern w:val="0"/>
          <w:szCs w:val="21"/>
        </w:rPr>
        <w:t>，</w:t>
      </w:r>
      <w:r w:rsidR="008F4DC0">
        <w:rPr>
          <w:rFonts w:ascii="楷体_GB2312" w:eastAsia="楷体_GB2312" w:hAnsi="宋体" w:cs="宋体" w:hint="eastAsia"/>
          <w:kern w:val="0"/>
          <w:szCs w:val="21"/>
        </w:rPr>
        <w:t>沿着政策放开路径把握市场结构性行情。</w:t>
      </w:r>
      <w:r w:rsidR="005A496F">
        <w:rPr>
          <w:rFonts w:ascii="楷体_GB2312" w:eastAsia="楷体_GB2312" w:hAnsi="宋体" w:cs="宋体" w:hint="eastAsia"/>
          <w:kern w:val="0"/>
          <w:szCs w:val="21"/>
        </w:rPr>
        <w:t>组合风格配置上，</w:t>
      </w:r>
      <w:r w:rsidR="00F442B3">
        <w:rPr>
          <w:rFonts w:ascii="楷体_GB2312" w:eastAsia="楷体_GB2312" w:hAnsi="宋体" w:cs="宋体" w:hint="eastAsia"/>
          <w:kern w:val="0"/>
          <w:szCs w:val="21"/>
        </w:rPr>
        <w:t>考虑到创业板的调整已近展开，我</w:t>
      </w:r>
      <w:r w:rsidR="000F47BA">
        <w:rPr>
          <w:rFonts w:ascii="楷体_GB2312" w:eastAsia="楷体_GB2312" w:hAnsi="宋体" w:cs="宋体" w:hint="eastAsia"/>
          <w:kern w:val="0"/>
          <w:szCs w:val="21"/>
        </w:rPr>
        <w:t>们预期这一调整将在未来一段</w:t>
      </w:r>
      <w:r w:rsidR="00FD5B7C">
        <w:rPr>
          <w:rFonts w:ascii="楷体_GB2312" w:eastAsia="楷体_GB2312" w:hAnsi="宋体" w:cs="宋体" w:hint="eastAsia"/>
          <w:kern w:val="0"/>
          <w:szCs w:val="21"/>
        </w:rPr>
        <w:t>时间内得以延续</w:t>
      </w:r>
      <w:r w:rsidR="00F442B3">
        <w:rPr>
          <w:rFonts w:ascii="楷体_GB2312" w:eastAsia="楷体_GB2312" w:hAnsi="宋体" w:cs="宋体" w:hint="eastAsia"/>
          <w:kern w:val="0"/>
          <w:szCs w:val="21"/>
        </w:rPr>
        <w:t>，建议投资者加快降低</w:t>
      </w:r>
      <w:r w:rsidR="00F442B3" w:rsidRPr="00CB03D0">
        <w:rPr>
          <w:rFonts w:ascii="楷体_GB2312" w:eastAsia="楷体_GB2312" w:hAnsi="宋体" w:cs="宋体" w:hint="eastAsia"/>
          <w:kern w:val="0"/>
          <w:szCs w:val="21"/>
        </w:rPr>
        <w:t>主要持仓以创业板为首的小市值高估值股票</w:t>
      </w:r>
      <w:r w:rsidR="00FD5B7C">
        <w:rPr>
          <w:rFonts w:ascii="楷体_GB2312" w:eastAsia="楷体_GB2312" w:hAnsi="宋体" w:cs="宋体" w:hint="eastAsia"/>
          <w:kern w:val="0"/>
          <w:szCs w:val="21"/>
        </w:rPr>
        <w:t>的</w:t>
      </w:r>
      <w:r w:rsidR="00F442B3" w:rsidRPr="00CB03D0">
        <w:rPr>
          <w:rFonts w:ascii="楷体_GB2312" w:eastAsia="楷体_GB2312" w:hAnsi="宋体" w:cs="宋体" w:hint="eastAsia"/>
          <w:kern w:val="0"/>
          <w:szCs w:val="21"/>
        </w:rPr>
        <w:t>基金的配置比例</w:t>
      </w:r>
      <w:r w:rsidR="008F4DC0">
        <w:rPr>
          <w:rFonts w:ascii="楷体_GB2312" w:eastAsia="楷体_GB2312" w:hAnsi="宋体" w:cs="宋体" w:hint="eastAsia"/>
          <w:kern w:val="0"/>
          <w:szCs w:val="21"/>
        </w:rPr>
        <w:t>，</w:t>
      </w:r>
      <w:r w:rsidR="00F442B3">
        <w:rPr>
          <w:rFonts w:ascii="楷体_GB2312" w:eastAsia="楷体_GB2312" w:hAnsi="宋体" w:cs="宋体" w:hint="eastAsia"/>
          <w:kern w:val="0"/>
          <w:szCs w:val="21"/>
        </w:rPr>
        <w:t>锁定主板市场价值板块</w:t>
      </w:r>
      <w:r w:rsidR="00F442B3" w:rsidRPr="00F442B3">
        <w:rPr>
          <w:rFonts w:ascii="楷体_GB2312" w:eastAsia="楷体_GB2312" w:hAnsi="宋体" w:cs="宋体" w:hint="eastAsia"/>
          <w:kern w:val="0"/>
          <w:szCs w:val="21"/>
        </w:rPr>
        <w:t>，在把握确定性收益的基础上寻求估值修复收益。</w:t>
      </w:r>
    </w:p>
    <w:p w:rsidR="001C760A" w:rsidRPr="00CB03D0" w:rsidRDefault="00CB03D0" w:rsidP="001C760A">
      <w:pPr>
        <w:spacing w:beforeLines="50"/>
        <w:ind w:leftChars="1350" w:left="2835" w:firstLineChars="202" w:firstLine="424"/>
        <w:rPr>
          <w:rFonts w:ascii="楷体_GB2312" w:eastAsia="楷体_GB2312" w:hAnsi="宋体" w:cs="宋体"/>
          <w:kern w:val="0"/>
          <w:szCs w:val="21"/>
        </w:rPr>
      </w:pPr>
      <w:r w:rsidRPr="00CB03D0">
        <w:rPr>
          <w:rFonts w:ascii="楷体_GB2312" w:eastAsia="楷体_GB2312" w:hAnsi="宋体" w:cs="宋体" w:hint="eastAsia"/>
          <w:kern w:val="0"/>
          <w:szCs w:val="21"/>
        </w:rPr>
        <w:t>固定收益率基金方面，</w:t>
      </w:r>
      <w:r w:rsidR="00000E9F">
        <w:rPr>
          <w:rFonts w:ascii="楷体_GB2312" w:eastAsia="楷体_GB2312" w:hAnsi="宋体" w:cs="宋体" w:hint="eastAsia"/>
          <w:color w:val="000000"/>
          <w:kern w:val="0"/>
          <w:szCs w:val="21"/>
        </w:rPr>
        <w:t>前期</w:t>
      </w:r>
      <w:r w:rsidR="00000E9F" w:rsidRPr="005D2D52">
        <w:rPr>
          <w:rFonts w:ascii="楷体_GB2312" w:eastAsia="楷体_GB2312" w:hAnsi="宋体" w:cs="宋体" w:hint="eastAsia"/>
          <w:color w:val="000000"/>
          <w:kern w:val="0"/>
          <w:szCs w:val="21"/>
        </w:rPr>
        <w:t>流动性宽松局面或已过去，利率市场化</w:t>
      </w:r>
      <w:r w:rsidR="00000E9F">
        <w:rPr>
          <w:rFonts w:ascii="楷体_GB2312" w:eastAsia="楷体_GB2312" w:hAnsi="宋体" w:cs="宋体" w:hint="eastAsia"/>
          <w:color w:val="000000"/>
          <w:kern w:val="0"/>
          <w:szCs w:val="21"/>
        </w:rPr>
        <w:t>继续抬升商业银行负债成本和市场资金价格，</w:t>
      </w:r>
      <w:r w:rsidR="00000E9F" w:rsidRPr="005D2D52">
        <w:rPr>
          <w:rFonts w:ascii="楷体_GB2312" w:eastAsia="楷体_GB2312" w:hAnsi="宋体" w:cs="宋体" w:hint="eastAsia"/>
          <w:color w:val="000000"/>
          <w:kern w:val="0"/>
          <w:szCs w:val="21"/>
        </w:rPr>
        <w:t>信用市场刚性兑付</w:t>
      </w:r>
      <w:r w:rsidR="00000E9F">
        <w:rPr>
          <w:rFonts w:ascii="楷体_GB2312" w:eastAsia="楷体_GB2312" w:hAnsi="宋体" w:cs="宋体" w:hint="eastAsia"/>
          <w:color w:val="000000"/>
          <w:kern w:val="0"/>
          <w:szCs w:val="21"/>
        </w:rPr>
        <w:t>预期</w:t>
      </w:r>
      <w:r w:rsidR="00000E9F" w:rsidRPr="005D2D52">
        <w:rPr>
          <w:rFonts w:ascii="楷体_GB2312" w:eastAsia="楷体_GB2312" w:hAnsi="宋体" w:cs="宋体" w:hint="eastAsia"/>
          <w:color w:val="000000"/>
          <w:kern w:val="0"/>
          <w:szCs w:val="21"/>
        </w:rPr>
        <w:t>破坏</w:t>
      </w:r>
      <w:r w:rsidR="00000E9F">
        <w:rPr>
          <w:rFonts w:ascii="楷体_GB2312" w:eastAsia="楷体_GB2312" w:hAnsi="宋体" w:cs="宋体" w:hint="eastAsia"/>
          <w:color w:val="000000"/>
          <w:kern w:val="0"/>
          <w:szCs w:val="21"/>
        </w:rPr>
        <w:t>也</w:t>
      </w:r>
      <w:r w:rsidR="00000E9F" w:rsidRPr="005D2D52">
        <w:rPr>
          <w:rFonts w:ascii="楷体_GB2312" w:eastAsia="楷体_GB2312" w:hAnsi="宋体" w:cs="宋体" w:hint="eastAsia"/>
          <w:color w:val="000000"/>
          <w:kern w:val="0"/>
          <w:szCs w:val="21"/>
        </w:rPr>
        <w:t>将推升整个金融市场无风险收益率水平，人民币单边升值预期破坏引发的国际资金流出也将对债市构成压力。</w:t>
      </w:r>
      <w:r w:rsidR="00CF2DA3">
        <w:rPr>
          <w:rFonts w:ascii="楷体_GB2312" w:eastAsia="楷体_GB2312" w:hAnsi="宋体" w:cs="宋体" w:hint="eastAsia"/>
          <w:color w:val="000000"/>
          <w:kern w:val="0"/>
          <w:szCs w:val="21"/>
        </w:rPr>
        <w:t>整体上债券市场仍然风险大于机会，建议投资者维持</w:t>
      </w:r>
      <w:r w:rsidR="00000E9F">
        <w:rPr>
          <w:rFonts w:ascii="楷体_GB2312" w:eastAsia="楷体_GB2312" w:hAnsi="宋体" w:cs="宋体" w:hint="eastAsia"/>
          <w:color w:val="000000"/>
          <w:kern w:val="0"/>
          <w:szCs w:val="21"/>
        </w:rPr>
        <w:t>谨慎，</w:t>
      </w:r>
      <w:r w:rsidR="00000E9F" w:rsidRPr="005D2D52">
        <w:rPr>
          <w:rFonts w:ascii="楷体_GB2312" w:eastAsia="楷体_GB2312" w:hAnsi="宋体" w:cs="宋体" w:hint="eastAsia"/>
          <w:color w:val="000000"/>
          <w:kern w:val="0"/>
          <w:szCs w:val="21"/>
        </w:rPr>
        <w:t>关注短久期高等级券种，回避低评级券种。</w:t>
      </w:r>
      <w:r w:rsidR="00000E9F">
        <w:rPr>
          <w:rFonts w:ascii="楷体_GB2312" w:eastAsia="楷体_GB2312" w:hAnsi="宋体" w:cs="宋体" w:hint="eastAsia"/>
          <w:color w:val="000000"/>
          <w:kern w:val="0"/>
          <w:szCs w:val="21"/>
        </w:rPr>
        <w:t>但当前</w:t>
      </w:r>
      <w:r w:rsidR="00000E9F" w:rsidRPr="005D2D52">
        <w:rPr>
          <w:rFonts w:ascii="楷体_GB2312" w:eastAsia="楷体_GB2312" w:hAnsi="宋体" w:cs="宋体" w:hint="eastAsia"/>
          <w:color w:val="000000"/>
          <w:kern w:val="0"/>
          <w:szCs w:val="21"/>
        </w:rPr>
        <w:t>债市收益率</w:t>
      </w:r>
      <w:r w:rsidR="00000E9F">
        <w:rPr>
          <w:rFonts w:ascii="楷体_GB2312" w:eastAsia="楷体_GB2312" w:hAnsi="宋体" w:cs="宋体" w:hint="eastAsia"/>
          <w:color w:val="000000"/>
          <w:kern w:val="0"/>
          <w:szCs w:val="21"/>
        </w:rPr>
        <w:t>仍</w:t>
      </w:r>
      <w:r w:rsidR="00000E9F" w:rsidRPr="005D2D52">
        <w:rPr>
          <w:rFonts w:ascii="楷体_GB2312" w:eastAsia="楷体_GB2312" w:hAnsi="宋体" w:cs="宋体" w:hint="eastAsia"/>
          <w:color w:val="000000"/>
          <w:kern w:val="0"/>
          <w:szCs w:val="21"/>
        </w:rPr>
        <w:t>处于历史高位，</w:t>
      </w:r>
      <w:r w:rsidR="00CF2DA3">
        <w:rPr>
          <w:rFonts w:ascii="楷体_GB2312" w:eastAsia="楷体_GB2312" w:hAnsi="宋体" w:cs="宋体" w:hint="eastAsia"/>
          <w:color w:val="000000"/>
          <w:kern w:val="0"/>
          <w:szCs w:val="21"/>
        </w:rPr>
        <w:t>目前债市收益率持续上涨的趋势已经打破，</w:t>
      </w:r>
      <w:r w:rsidR="001C760A">
        <w:rPr>
          <w:rFonts w:ascii="楷体_GB2312" w:eastAsia="楷体_GB2312" w:hAnsi="宋体" w:cs="宋体" w:hint="eastAsia"/>
          <w:color w:val="000000"/>
          <w:kern w:val="0"/>
          <w:szCs w:val="21"/>
        </w:rPr>
        <w:t>尽管收益率仍然有上升空间，但其</w:t>
      </w:r>
      <w:r w:rsidR="00000E9F">
        <w:rPr>
          <w:rFonts w:ascii="楷体_GB2312" w:eastAsia="楷体_GB2312" w:hAnsi="宋体" w:cs="宋体" w:hint="eastAsia"/>
          <w:color w:val="000000"/>
          <w:kern w:val="0"/>
          <w:szCs w:val="21"/>
        </w:rPr>
        <w:t>长期配置价值</w:t>
      </w:r>
      <w:r w:rsidR="001C760A">
        <w:rPr>
          <w:rFonts w:ascii="楷体_GB2312" w:eastAsia="楷体_GB2312" w:hAnsi="宋体" w:cs="宋体" w:hint="eastAsia"/>
          <w:color w:val="000000"/>
          <w:kern w:val="0"/>
          <w:szCs w:val="21"/>
        </w:rPr>
        <w:t>已经显著，</w:t>
      </w:r>
      <w:r w:rsidR="001C760A" w:rsidRPr="00CB03D0">
        <w:rPr>
          <w:rFonts w:ascii="楷体_GB2312" w:eastAsia="楷体_GB2312" w:hAnsi="宋体" w:cs="宋体" w:hint="eastAsia"/>
          <w:kern w:val="0"/>
          <w:szCs w:val="21"/>
        </w:rPr>
        <w:t>债市息票收入稳定可观，建议投资者密切关注债券型基金蕴含的长期配置价值。</w:t>
      </w:r>
    </w:p>
    <w:p w:rsidR="00840C8D" w:rsidRDefault="00CB03D0" w:rsidP="00DC2903">
      <w:pPr>
        <w:spacing w:beforeLines="50"/>
        <w:ind w:leftChars="1350" w:left="2835" w:firstLineChars="202" w:firstLine="424"/>
        <w:rPr>
          <w:rFonts w:ascii="楷体_GB2312" w:eastAsia="楷体_GB2312" w:hAnsi="宋体" w:cs="宋体" w:hint="eastAsia"/>
          <w:kern w:val="0"/>
          <w:szCs w:val="21"/>
        </w:rPr>
      </w:pPr>
      <w:r w:rsidRPr="00CB03D0">
        <w:rPr>
          <w:rFonts w:ascii="楷体_GB2312" w:eastAsia="楷体_GB2312" w:hAnsi="宋体" w:cs="宋体" w:hint="eastAsia"/>
          <w:kern w:val="0"/>
          <w:szCs w:val="21"/>
        </w:rPr>
        <w:t>QDII方面，</w:t>
      </w:r>
      <w:r w:rsidR="00840C8D">
        <w:rPr>
          <w:rFonts w:ascii="楷体_GB2312" w:eastAsia="楷体_GB2312" w:hAnsi="宋体" w:cs="宋体" w:hint="eastAsia"/>
          <w:color w:val="000000"/>
          <w:kern w:val="0"/>
          <w:szCs w:val="21"/>
        </w:rPr>
        <w:t>全球经济重心和投资重心均向美欧成熟市场移动，新兴</w:t>
      </w:r>
      <w:r w:rsidR="00840C8D">
        <w:rPr>
          <w:rFonts w:ascii="楷体_GB2312" w:eastAsia="楷体_GB2312" w:hAnsi="宋体" w:cs="宋体" w:hint="eastAsia"/>
          <w:color w:val="000000"/>
          <w:kern w:val="0"/>
          <w:szCs w:val="21"/>
        </w:rPr>
        <w:lastRenderedPageBreak/>
        <w:t>经济体则面临需求疲软和资本外逃的双重压力。随着市场对乌克兰局势消化，强势美元将继续压制黄金价格走势，需求疲软背景下大宗商品价格继续面临调整威胁</w:t>
      </w:r>
      <w:r w:rsidR="00840C8D">
        <w:rPr>
          <w:rFonts w:ascii="楷体_GB2312" w:eastAsia="楷体_GB2312" w:hAnsi="宋体" w:cs="宋体" w:hint="eastAsia"/>
          <w:color w:val="000000"/>
          <w:kern w:val="0"/>
          <w:szCs w:val="21"/>
        </w:rPr>
        <w:t>。建议投资者维持上期配置策略，</w:t>
      </w:r>
      <w:r w:rsidR="00840C8D" w:rsidRPr="00CB03D0">
        <w:rPr>
          <w:rFonts w:ascii="楷体_GB2312" w:eastAsia="楷体_GB2312" w:hAnsi="宋体" w:cs="宋体" w:hint="eastAsia"/>
          <w:kern w:val="0"/>
          <w:szCs w:val="21"/>
        </w:rPr>
        <w:t>侧重于关注基金中主要投资发达国家股票市场</w:t>
      </w:r>
      <w:r w:rsidR="00840C8D">
        <w:rPr>
          <w:rFonts w:ascii="楷体_GB2312" w:eastAsia="楷体_GB2312" w:hAnsi="宋体" w:cs="宋体" w:hint="eastAsia"/>
          <w:kern w:val="0"/>
          <w:szCs w:val="21"/>
        </w:rPr>
        <w:t>QDII，适当回避新兴市场QDII和</w:t>
      </w:r>
      <w:r w:rsidR="00840C8D" w:rsidRPr="00CB03D0">
        <w:rPr>
          <w:rFonts w:ascii="楷体_GB2312" w:eastAsia="楷体_GB2312" w:hAnsi="宋体" w:cs="宋体" w:hint="eastAsia"/>
          <w:kern w:val="0"/>
          <w:szCs w:val="21"/>
        </w:rPr>
        <w:t>资源品、商品类QDII</w:t>
      </w:r>
      <w:r w:rsidR="00840C8D">
        <w:rPr>
          <w:rFonts w:ascii="楷体_GB2312" w:eastAsia="楷体_GB2312" w:hAnsi="宋体" w:cs="宋体" w:hint="eastAsia"/>
          <w:kern w:val="0"/>
          <w:szCs w:val="21"/>
        </w:rPr>
        <w:t>。</w:t>
      </w:r>
    </w:p>
    <w:p w:rsidR="001E3B52" w:rsidRPr="005E4592" w:rsidRDefault="004938DD" w:rsidP="00DC2903">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（三）</w:t>
      </w:r>
      <w:r w:rsidR="001E3B52" w:rsidRPr="005E4592">
        <w:rPr>
          <w:rFonts w:ascii="黑体" w:eastAsia="黑体" w:hAnsi="宋体-18030" w:cs="宋体-18030" w:hint="eastAsia"/>
          <w:b/>
          <w:bCs/>
          <w:color w:val="003366"/>
          <w:kern w:val="44"/>
          <w:sz w:val="24"/>
        </w:rPr>
        <w:t>基金组合推荐</w:t>
      </w:r>
    </w:p>
    <w:p w:rsidR="00D97D07" w:rsidRDefault="001E3B52" w:rsidP="00DC2903">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具体到组合构建上，我们在“市场机会大于风险。</w:t>
      </w:r>
      <w:r w:rsidR="00653334">
        <w:rPr>
          <w:rFonts w:ascii="楷体_GB2312" w:eastAsia="楷体_GB2312" w:hAnsi="宋体" w:cs="宋体" w:hint="eastAsia"/>
          <w:kern w:val="0"/>
          <w:szCs w:val="21"/>
        </w:rPr>
        <w:t>价值为主</w:t>
      </w:r>
      <w:r w:rsidR="00B149DD">
        <w:rPr>
          <w:rFonts w:ascii="楷体_GB2312" w:eastAsia="楷体_GB2312" w:hAnsi="宋体" w:cs="宋体" w:hint="eastAsia"/>
          <w:kern w:val="0"/>
          <w:szCs w:val="21"/>
        </w:rPr>
        <w:t>成长</w:t>
      </w:r>
      <w:r w:rsidRPr="003A2393">
        <w:rPr>
          <w:rFonts w:ascii="楷体_GB2312" w:eastAsia="楷体_GB2312" w:hAnsi="宋体" w:cs="宋体" w:hint="eastAsia"/>
          <w:kern w:val="0"/>
          <w:szCs w:val="21"/>
        </w:rPr>
        <w:t>为辅</w:t>
      </w:r>
      <w:r w:rsidR="00B149DD">
        <w:rPr>
          <w:rFonts w:ascii="楷体_GB2312" w:eastAsia="楷体_GB2312" w:hAnsi="宋体" w:cs="宋体" w:hint="eastAsia"/>
          <w:kern w:val="0"/>
          <w:szCs w:val="21"/>
        </w:rPr>
        <w:t>配置基金</w:t>
      </w:r>
      <w:r w:rsidRPr="003A2393">
        <w:rPr>
          <w:rFonts w:ascii="楷体_GB2312" w:eastAsia="楷体_GB2312" w:hAnsi="宋体" w:cs="宋体" w:hint="eastAsia"/>
          <w:kern w:val="0"/>
          <w:szCs w:val="21"/>
        </w:rPr>
        <w:t>”的基金投资策略指引下，充分考虑资产配置、行业结构、投资风格分散化原则，构建投资组合以供投资参考。</w:t>
      </w:r>
    </w:p>
    <w:p w:rsidR="001E3B52" w:rsidRPr="00E921CB" w:rsidRDefault="001E3B52" w:rsidP="00DC2903">
      <w:pPr>
        <w:spacing w:beforeLines="50"/>
        <w:ind w:leftChars="1350" w:left="2835" w:firstLineChars="202" w:firstLine="424"/>
        <w:rPr>
          <w:rFonts w:ascii="楷体_GB2312" w:eastAsia="楷体_GB2312" w:hAnsi="宋体" w:cs="宋体"/>
          <w:kern w:val="0"/>
          <w:szCs w:val="21"/>
        </w:rPr>
      </w:pPr>
      <w:r w:rsidRPr="00E921CB">
        <w:rPr>
          <w:rFonts w:ascii="楷体_GB2312" w:eastAsia="楷体_GB2312" w:hAnsi="宋体" w:cs="宋体" w:hint="eastAsia"/>
          <w:kern w:val="0"/>
          <w:szCs w:val="21"/>
        </w:rPr>
        <w:t>本期组合有所调整</w:t>
      </w:r>
      <w:r w:rsidR="00D97D07" w:rsidRPr="00E921CB">
        <w:rPr>
          <w:rFonts w:ascii="楷体_GB2312" w:eastAsia="楷体_GB2312" w:hAnsi="宋体" w:cs="宋体" w:hint="eastAsia"/>
          <w:kern w:val="0"/>
          <w:szCs w:val="21"/>
        </w:rPr>
        <w:t>：</w:t>
      </w:r>
      <w:r w:rsidRPr="00E921CB">
        <w:rPr>
          <w:rFonts w:ascii="楷体_GB2312" w:eastAsia="楷体_GB2312" w:hAnsi="宋体" w:cs="宋体" w:hint="eastAsia"/>
          <w:kern w:val="0"/>
          <w:szCs w:val="21"/>
        </w:rPr>
        <w:t>积极型组合中，</w:t>
      </w:r>
      <w:r w:rsidR="00D729B7" w:rsidRPr="00E921CB">
        <w:rPr>
          <w:rFonts w:ascii="楷体_GB2312" w:eastAsia="楷体_GB2312" w:hAnsi="宋体" w:cs="宋体" w:hint="eastAsia"/>
          <w:kern w:val="0"/>
          <w:szCs w:val="21"/>
        </w:rPr>
        <w:t>继续</w:t>
      </w:r>
      <w:r w:rsidRPr="00E921CB">
        <w:rPr>
          <w:rFonts w:ascii="楷体_GB2312" w:eastAsia="楷体_GB2312" w:hAnsi="宋体" w:cs="宋体" w:hint="eastAsia"/>
          <w:kern w:val="0"/>
          <w:szCs w:val="21"/>
        </w:rPr>
        <w:t>提高了对添富价值的配置比例，降低了对银河成长的配置比例。</w:t>
      </w:r>
    </w:p>
    <w:p w:rsidR="001E3B52" w:rsidRPr="00E921CB" w:rsidRDefault="001E3B52" w:rsidP="005E24D9">
      <w:pPr>
        <w:spacing w:line="360" w:lineRule="auto"/>
        <w:ind w:left="4017" w:hangingChars="2223" w:hanging="4017"/>
        <w:jc w:val="center"/>
        <w:rPr>
          <w:rFonts w:ascii="楷体_GB2312" w:eastAsia="楷体_GB2312"/>
          <w:b/>
          <w:noProof/>
          <w:color w:val="000000"/>
        </w:rPr>
      </w:pPr>
      <w:r w:rsidRPr="00E921CB">
        <w:rPr>
          <w:rFonts w:ascii="楷体_GB2312" w:eastAsia="楷体_GB2312" w:hint="eastAsia"/>
          <w:b/>
          <w:color w:val="000000"/>
          <w:sz w:val="18"/>
          <w:szCs w:val="18"/>
        </w:rPr>
        <w:t>表1上海证券基金评价研究中心基金组合</w:t>
      </w:r>
    </w:p>
    <w:tbl>
      <w:tblPr>
        <w:tblW w:w="5000" w:type="pct"/>
        <w:jc w:val="center"/>
        <w:tblLook w:val="0000"/>
      </w:tblPr>
      <w:tblGrid>
        <w:gridCol w:w="1790"/>
        <w:gridCol w:w="930"/>
        <w:gridCol w:w="731"/>
        <w:gridCol w:w="1790"/>
        <w:gridCol w:w="930"/>
        <w:gridCol w:w="680"/>
        <w:gridCol w:w="1887"/>
        <w:gridCol w:w="833"/>
      </w:tblGrid>
      <w:tr w:rsidR="001E3B52" w:rsidRPr="00E921CB" w:rsidTr="00A422E1">
        <w:trPr>
          <w:trHeight w:val="285"/>
          <w:jc w:val="center"/>
        </w:trPr>
        <w:tc>
          <w:tcPr>
            <w:tcW w:w="1421" w:type="pct"/>
            <w:gridSpan w:val="2"/>
            <w:tcBorders>
              <w:top w:val="single" w:sz="4" w:space="0" w:color="auto"/>
              <w:left w:val="single" w:sz="4" w:space="0" w:color="auto"/>
              <w:right w:val="single" w:sz="4" w:space="0" w:color="000000"/>
            </w:tcBorders>
            <w:shd w:val="clear" w:color="auto" w:fill="0000FF"/>
            <w:noWrap/>
            <w:vAlign w:val="bottom"/>
          </w:tcPr>
          <w:p w:rsidR="001E3B52" w:rsidRPr="00E921CB" w:rsidRDefault="001E3B52" w:rsidP="00A422E1">
            <w:pPr>
              <w:widowControl/>
              <w:jc w:val="center"/>
              <w:rPr>
                <w:rFonts w:ascii="宋体" w:hAnsi="宋体" w:cs="宋体"/>
                <w:b/>
                <w:color w:val="FFFFFF"/>
                <w:kern w:val="0"/>
                <w:sz w:val="18"/>
                <w:szCs w:val="18"/>
              </w:rPr>
            </w:pPr>
            <w:r w:rsidRPr="00E921CB">
              <w:rPr>
                <w:rFonts w:ascii="宋体" w:hAnsi="宋体" w:cs="宋体" w:hint="eastAsia"/>
                <w:b/>
                <w:color w:val="FFFFFF"/>
                <w:kern w:val="0"/>
                <w:sz w:val="18"/>
                <w:szCs w:val="18"/>
              </w:rPr>
              <w:t>积极型组合</w:t>
            </w:r>
          </w:p>
        </w:tc>
        <w:tc>
          <w:tcPr>
            <w:tcW w:w="382" w:type="pct"/>
            <w:vMerge w:val="restart"/>
            <w:tcBorders>
              <w:top w:val="single" w:sz="4" w:space="0" w:color="auto"/>
              <w:left w:val="single" w:sz="4" w:space="0" w:color="000000"/>
              <w:bottom w:val="single" w:sz="4" w:space="0" w:color="000000"/>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p>
        </w:tc>
        <w:tc>
          <w:tcPr>
            <w:tcW w:w="1421" w:type="pct"/>
            <w:gridSpan w:val="2"/>
            <w:tcBorders>
              <w:top w:val="single" w:sz="4" w:space="0" w:color="auto"/>
              <w:left w:val="single" w:sz="4" w:space="0" w:color="auto"/>
              <w:right w:val="single" w:sz="4" w:space="0" w:color="000000"/>
            </w:tcBorders>
            <w:shd w:val="clear" w:color="auto" w:fill="0000FF"/>
            <w:noWrap/>
            <w:vAlign w:val="bottom"/>
          </w:tcPr>
          <w:p w:rsidR="001E3B52" w:rsidRPr="00E921CB" w:rsidRDefault="001E3B52" w:rsidP="00A422E1">
            <w:pPr>
              <w:widowControl/>
              <w:jc w:val="center"/>
              <w:rPr>
                <w:rFonts w:ascii="宋体" w:hAnsi="宋体" w:cs="宋体"/>
                <w:b/>
                <w:color w:val="FFFFFF"/>
                <w:kern w:val="0"/>
                <w:sz w:val="18"/>
                <w:szCs w:val="18"/>
              </w:rPr>
            </w:pPr>
            <w:r w:rsidRPr="00E921CB">
              <w:rPr>
                <w:rFonts w:ascii="宋体" w:hAnsi="宋体" w:cs="宋体" w:hint="eastAsia"/>
                <w:b/>
                <w:color w:val="FFFFFF"/>
                <w:kern w:val="0"/>
                <w:sz w:val="18"/>
                <w:szCs w:val="18"/>
              </w:rPr>
              <w:t>平衡型组合</w:t>
            </w:r>
          </w:p>
        </w:tc>
        <w:tc>
          <w:tcPr>
            <w:tcW w:w="355" w:type="pct"/>
            <w:vMerge w:val="restart"/>
            <w:tcBorders>
              <w:top w:val="single" w:sz="4" w:space="0" w:color="auto"/>
              <w:left w:val="single" w:sz="4" w:space="0" w:color="000000"/>
              <w:bottom w:val="single" w:sz="4" w:space="0" w:color="000000"/>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p>
        </w:tc>
        <w:tc>
          <w:tcPr>
            <w:tcW w:w="1421" w:type="pct"/>
            <w:gridSpan w:val="2"/>
            <w:tcBorders>
              <w:top w:val="single" w:sz="4" w:space="0" w:color="auto"/>
              <w:left w:val="single" w:sz="4" w:space="0" w:color="auto"/>
              <w:right w:val="single" w:sz="4" w:space="0" w:color="000000"/>
            </w:tcBorders>
            <w:shd w:val="clear" w:color="auto" w:fill="0000FF"/>
            <w:noWrap/>
            <w:vAlign w:val="bottom"/>
          </w:tcPr>
          <w:p w:rsidR="001E3B52" w:rsidRPr="00E921CB" w:rsidRDefault="001E3B52" w:rsidP="00A422E1">
            <w:pPr>
              <w:widowControl/>
              <w:jc w:val="center"/>
              <w:rPr>
                <w:rFonts w:ascii="宋体" w:hAnsi="宋体" w:cs="宋体"/>
                <w:b/>
                <w:color w:val="FFFFFF"/>
                <w:kern w:val="0"/>
                <w:sz w:val="18"/>
                <w:szCs w:val="18"/>
              </w:rPr>
            </w:pPr>
            <w:r w:rsidRPr="00E921CB">
              <w:rPr>
                <w:rFonts w:ascii="宋体" w:hAnsi="宋体" w:cs="宋体" w:hint="eastAsia"/>
                <w:b/>
                <w:color w:val="FFFFFF"/>
                <w:kern w:val="0"/>
                <w:sz w:val="18"/>
                <w:szCs w:val="18"/>
              </w:rPr>
              <w:t>稳定型组合</w:t>
            </w:r>
          </w:p>
        </w:tc>
      </w:tr>
      <w:tr w:rsidR="001E3B52" w:rsidRPr="00E921CB" w:rsidTr="00A422E1">
        <w:trPr>
          <w:trHeight w:val="285"/>
          <w:jc w:val="center"/>
        </w:trPr>
        <w:tc>
          <w:tcPr>
            <w:tcW w:w="935" w:type="pct"/>
            <w:tcBorders>
              <w:bottom w:val="single" w:sz="8" w:space="0" w:color="auto"/>
              <w:right w:val="single" w:sz="8" w:space="0" w:color="auto"/>
            </w:tcBorders>
            <w:shd w:val="clear" w:color="auto" w:fill="D9D9D9"/>
            <w:noWrap/>
            <w:vAlign w:val="bottom"/>
          </w:tcPr>
          <w:p w:rsidR="001E3B52" w:rsidRPr="00E921CB" w:rsidRDefault="001E3B52" w:rsidP="00A422E1">
            <w:pPr>
              <w:widowControl/>
              <w:jc w:val="center"/>
              <w:rPr>
                <w:rFonts w:ascii="宋体" w:hAnsi="宋体" w:cs="宋体"/>
                <w:b/>
                <w:kern w:val="0"/>
                <w:sz w:val="18"/>
                <w:szCs w:val="18"/>
              </w:rPr>
            </w:pPr>
            <w:r w:rsidRPr="00E921CB">
              <w:rPr>
                <w:rFonts w:ascii="宋体" w:hAnsi="宋体" w:cs="宋体" w:hint="eastAsia"/>
                <w:b/>
                <w:kern w:val="0"/>
                <w:sz w:val="18"/>
                <w:szCs w:val="18"/>
              </w:rPr>
              <w:t>样本基金</w:t>
            </w:r>
          </w:p>
        </w:tc>
        <w:tc>
          <w:tcPr>
            <w:tcW w:w="486" w:type="pct"/>
            <w:tcBorders>
              <w:left w:val="single" w:sz="8" w:space="0" w:color="auto"/>
              <w:bottom w:val="single" w:sz="8" w:space="0" w:color="auto"/>
              <w:right w:val="single" w:sz="8" w:space="0" w:color="auto"/>
            </w:tcBorders>
            <w:shd w:val="clear" w:color="auto" w:fill="D9D9D9"/>
            <w:noWrap/>
            <w:vAlign w:val="bottom"/>
          </w:tcPr>
          <w:p w:rsidR="001E3B52" w:rsidRPr="00E921CB" w:rsidRDefault="001E3B52" w:rsidP="00A422E1">
            <w:pPr>
              <w:widowControl/>
              <w:jc w:val="center"/>
              <w:rPr>
                <w:rFonts w:ascii="宋体" w:hAnsi="宋体" w:cs="宋体"/>
                <w:b/>
                <w:kern w:val="0"/>
                <w:sz w:val="18"/>
                <w:szCs w:val="18"/>
              </w:rPr>
            </w:pPr>
            <w:r w:rsidRPr="00E921CB">
              <w:rPr>
                <w:rFonts w:ascii="宋体" w:hAnsi="宋体" w:cs="宋体" w:hint="eastAsia"/>
                <w:b/>
                <w:kern w:val="0"/>
                <w:sz w:val="18"/>
                <w:szCs w:val="18"/>
              </w:rPr>
              <w:t>权重</w:t>
            </w:r>
          </w:p>
        </w:tc>
        <w:tc>
          <w:tcPr>
            <w:tcW w:w="382" w:type="pct"/>
            <w:vMerge/>
            <w:tcBorders>
              <w:top w:val="single" w:sz="4" w:space="0" w:color="auto"/>
              <w:left w:val="single" w:sz="8" w:space="0" w:color="auto"/>
              <w:bottom w:val="single" w:sz="4" w:space="0" w:color="000000"/>
            </w:tcBorders>
            <w:vAlign w:val="center"/>
          </w:tcPr>
          <w:p w:rsidR="001E3B52" w:rsidRPr="00E921CB" w:rsidRDefault="001E3B52" w:rsidP="00A422E1">
            <w:pPr>
              <w:widowControl/>
              <w:jc w:val="left"/>
              <w:rPr>
                <w:rFonts w:ascii="宋体" w:hAnsi="宋体" w:cs="宋体"/>
                <w:kern w:val="0"/>
                <w:sz w:val="18"/>
                <w:szCs w:val="18"/>
              </w:rPr>
            </w:pPr>
          </w:p>
        </w:tc>
        <w:tc>
          <w:tcPr>
            <w:tcW w:w="935" w:type="pct"/>
            <w:tcBorders>
              <w:bottom w:val="single" w:sz="8" w:space="0" w:color="auto"/>
              <w:right w:val="single" w:sz="8" w:space="0" w:color="auto"/>
            </w:tcBorders>
            <w:shd w:val="clear" w:color="auto" w:fill="D9D9D9"/>
            <w:noWrap/>
            <w:vAlign w:val="bottom"/>
          </w:tcPr>
          <w:p w:rsidR="001E3B52" w:rsidRPr="00E921CB" w:rsidRDefault="001E3B52" w:rsidP="00A422E1">
            <w:pPr>
              <w:widowControl/>
              <w:jc w:val="center"/>
              <w:rPr>
                <w:rFonts w:ascii="宋体" w:hAnsi="宋体" w:cs="宋体"/>
                <w:b/>
                <w:kern w:val="0"/>
                <w:sz w:val="18"/>
                <w:szCs w:val="18"/>
              </w:rPr>
            </w:pPr>
            <w:r w:rsidRPr="00E921CB">
              <w:rPr>
                <w:rFonts w:ascii="宋体" w:hAnsi="宋体" w:cs="宋体" w:hint="eastAsia"/>
                <w:b/>
                <w:kern w:val="0"/>
                <w:sz w:val="18"/>
                <w:szCs w:val="18"/>
              </w:rPr>
              <w:t>样本基金</w:t>
            </w:r>
          </w:p>
        </w:tc>
        <w:tc>
          <w:tcPr>
            <w:tcW w:w="486" w:type="pct"/>
            <w:tcBorders>
              <w:left w:val="single" w:sz="8" w:space="0" w:color="auto"/>
              <w:bottom w:val="single" w:sz="8" w:space="0" w:color="auto"/>
              <w:right w:val="single" w:sz="8" w:space="0" w:color="auto"/>
            </w:tcBorders>
            <w:shd w:val="clear" w:color="auto" w:fill="D9D9D9"/>
            <w:noWrap/>
            <w:vAlign w:val="bottom"/>
          </w:tcPr>
          <w:p w:rsidR="001E3B52" w:rsidRPr="00E921CB" w:rsidRDefault="001E3B52" w:rsidP="00A422E1">
            <w:pPr>
              <w:widowControl/>
              <w:jc w:val="center"/>
              <w:rPr>
                <w:rFonts w:ascii="宋体" w:hAnsi="宋体" w:cs="宋体"/>
                <w:b/>
                <w:kern w:val="0"/>
                <w:sz w:val="18"/>
                <w:szCs w:val="18"/>
              </w:rPr>
            </w:pPr>
            <w:r w:rsidRPr="00E921CB">
              <w:rPr>
                <w:rFonts w:ascii="宋体" w:hAnsi="宋体" w:cs="宋体" w:hint="eastAsia"/>
                <w:b/>
                <w:kern w:val="0"/>
                <w:sz w:val="18"/>
                <w:szCs w:val="18"/>
              </w:rPr>
              <w:t>权重</w:t>
            </w:r>
          </w:p>
        </w:tc>
        <w:tc>
          <w:tcPr>
            <w:tcW w:w="355" w:type="pct"/>
            <w:vMerge/>
            <w:tcBorders>
              <w:top w:val="single" w:sz="4" w:space="0" w:color="auto"/>
              <w:left w:val="single" w:sz="8" w:space="0" w:color="auto"/>
              <w:bottom w:val="single" w:sz="4" w:space="0" w:color="000000"/>
            </w:tcBorders>
            <w:vAlign w:val="center"/>
          </w:tcPr>
          <w:p w:rsidR="001E3B52" w:rsidRPr="00E921CB" w:rsidRDefault="001E3B52" w:rsidP="00A422E1">
            <w:pPr>
              <w:widowControl/>
              <w:jc w:val="left"/>
              <w:rPr>
                <w:rFonts w:ascii="宋体" w:hAnsi="宋体" w:cs="宋体"/>
                <w:kern w:val="0"/>
                <w:sz w:val="18"/>
                <w:szCs w:val="18"/>
              </w:rPr>
            </w:pPr>
          </w:p>
        </w:tc>
        <w:tc>
          <w:tcPr>
            <w:tcW w:w="986" w:type="pct"/>
            <w:tcBorders>
              <w:bottom w:val="single" w:sz="8" w:space="0" w:color="auto"/>
              <w:right w:val="single" w:sz="8" w:space="0" w:color="auto"/>
            </w:tcBorders>
            <w:shd w:val="clear" w:color="auto" w:fill="D9D9D9"/>
            <w:noWrap/>
            <w:vAlign w:val="bottom"/>
          </w:tcPr>
          <w:p w:rsidR="001E3B52" w:rsidRPr="00E921CB" w:rsidRDefault="001E3B52" w:rsidP="00A422E1">
            <w:pPr>
              <w:widowControl/>
              <w:jc w:val="center"/>
              <w:rPr>
                <w:rFonts w:ascii="宋体" w:hAnsi="宋体" w:cs="宋体"/>
                <w:b/>
                <w:kern w:val="0"/>
                <w:sz w:val="18"/>
                <w:szCs w:val="18"/>
              </w:rPr>
            </w:pPr>
            <w:r w:rsidRPr="00E921CB">
              <w:rPr>
                <w:rFonts w:ascii="宋体" w:hAnsi="宋体" w:cs="宋体" w:hint="eastAsia"/>
                <w:b/>
                <w:kern w:val="0"/>
                <w:sz w:val="18"/>
                <w:szCs w:val="18"/>
              </w:rPr>
              <w:t>样本基金</w:t>
            </w:r>
          </w:p>
        </w:tc>
        <w:tc>
          <w:tcPr>
            <w:tcW w:w="435" w:type="pct"/>
            <w:tcBorders>
              <w:left w:val="single" w:sz="8" w:space="0" w:color="auto"/>
              <w:bottom w:val="single" w:sz="8" w:space="0" w:color="auto"/>
              <w:right w:val="single" w:sz="8" w:space="0" w:color="auto"/>
            </w:tcBorders>
            <w:shd w:val="clear" w:color="auto" w:fill="D9D9D9"/>
            <w:noWrap/>
            <w:vAlign w:val="bottom"/>
          </w:tcPr>
          <w:p w:rsidR="001E3B52" w:rsidRPr="00E921CB" w:rsidRDefault="001E3B52" w:rsidP="00A422E1">
            <w:pPr>
              <w:widowControl/>
              <w:jc w:val="center"/>
              <w:rPr>
                <w:rFonts w:ascii="宋体" w:hAnsi="宋体" w:cs="宋体"/>
                <w:b/>
                <w:kern w:val="0"/>
                <w:sz w:val="18"/>
                <w:szCs w:val="18"/>
              </w:rPr>
            </w:pPr>
            <w:r w:rsidRPr="00E921CB">
              <w:rPr>
                <w:rFonts w:ascii="宋体" w:hAnsi="宋体" w:cs="宋体" w:hint="eastAsia"/>
                <w:b/>
                <w:kern w:val="0"/>
                <w:sz w:val="18"/>
                <w:szCs w:val="18"/>
              </w:rPr>
              <w:t>权重</w:t>
            </w:r>
          </w:p>
        </w:tc>
      </w:tr>
      <w:tr w:rsidR="001E3B52" w:rsidRPr="00E921CB" w:rsidTr="00A422E1">
        <w:trPr>
          <w:trHeight w:val="285"/>
          <w:jc w:val="center"/>
        </w:trPr>
        <w:tc>
          <w:tcPr>
            <w:tcW w:w="935" w:type="pct"/>
            <w:tcBorders>
              <w:top w:val="single" w:sz="8" w:space="0" w:color="auto"/>
              <w:left w:val="single" w:sz="4" w:space="0" w:color="auto"/>
              <w:bottom w:val="single" w:sz="4" w:space="0" w:color="auto"/>
              <w:right w:val="single" w:sz="4" w:space="0" w:color="auto"/>
            </w:tcBorders>
            <w:shd w:val="clear" w:color="auto" w:fill="auto"/>
            <w:noWrap/>
            <w:vAlign w:val="bottom"/>
          </w:tcPr>
          <w:p w:rsidR="001E3B52" w:rsidRPr="00E921CB" w:rsidRDefault="001E3B52" w:rsidP="00A422E1">
            <w:pPr>
              <w:jc w:val="center"/>
              <w:rPr>
                <w:rFonts w:ascii="宋体" w:hAnsi="宋体" w:cs="宋体"/>
                <w:sz w:val="18"/>
                <w:szCs w:val="18"/>
              </w:rPr>
            </w:pPr>
            <w:r w:rsidRPr="00E921CB">
              <w:rPr>
                <w:rFonts w:hint="eastAsia"/>
                <w:sz w:val="18"/>
                <w:szCs w:val="18"/>
              </w:rPr>
              <w:t>银河成长</w:t>
            </w:r>
          </w:p>
        </w:tc>
        <w:tc>
          <w:tcPr>
            <w:tcW w:w="486" w:type="pct"/>
            <w:tcBorders>
              <w:top w:val="single" w:sz="8" w:space="0" w:color="auto"/>
              <w:left w:val="nil"/>
              <w:bottom w:val="single" w:sz="4" w:space="0" w:color="auto"/>
              <w:right w:val="single" w:sz="4" w:space="0" w:color="auto"/>
            </w:tcBorders>
            <w:shd w:val="clear" w:color="auto" w:fill="auto"/>
            <w:noWrap/>
            <w:vAlign w:val="bottom"/>
          </w:tcPr>
          <w:p w:rsidR="001E3B52" w:rsidRPr="00E921CB" w:rsidRDefault="00E921CB" w:rsidP="00A422E1">
            <w:pPr>
              <w:widowControl/>
              <w:jc w:val="center"/>
              <w:rPr>
                <w:rFonts w:ascii="宋体" w:hAnsi="宋体" w:cs="宋体"/>
                <w:kern w:val="0"/>
                <w:sz w:val="18"/>
                <w:szCs w:val="18"/>
              </w:rPr>
            </w:pPr>
            <w:r w:rsidRPr="00E921CB">
              <w:rPr>
                <w:rFonts w:ascii="宋体" w:hAnsi="宋体" w:cs="宋体" w:hint="eastAsia"/>
                <w:kern w:val="0"/>
                <w:sz w:val="18"/>
                <w:szCs w:val="18"/>
              </w:rPr>
              <w:t>2</w:t>
            </w:r>
            <w:r w:rsidR="001E3B52" w:rsidRPr="00E921CB">
              <w:rPr>
                <w:rFonts w:ascii="宋体" w:hAnsi="宋体" w:cs="宋体" w:hint="eastAsia"/>
                <w:kern w:val="0"/>
                <w:sz w:val="18"/>
                <w:szCs w:val="18"/>
              </w:rPr>
              <w:t>0%</w:t>
            </w:r>
          </w:p>
        </w:tc>
        <w:tc>
          <w:tcPr>
            <w:tcW w:w="382" w:type="pct"/>
            <w:vMerge/>
            <w:tcBorders>
              <w:top w:val="single" w:sz="8" w:space="0" w:color="auto"/>
              <w:left w:val="single" w:sz="4" w:space="0" w:color="auto"/>
              <w:bottom w:val="single" w:sz="4" w:space="0" w:color="000000"/>
              <w:right w:val="single" w:sz="4" w:space="0" w:color="auto"/>
            </w:tcBorders>
            <w:vAlign w:val="center"/>
          </w:tcPr>
          <w:p w:rsidR="001E3B52" w:rsidRPr="00E921CB" w:rsidRDefault="001E3B52" w:rsidP="00A422E1">
            <w:pPr>
              <w:widowControl/>
              <w:jc w:val="left"/>
              <w:rPr>
                <w:rFonts w:ascii="宋体" w:hAnsi="宋体" w:cs="宋体"/>
                <w:kern w:val="0"/>
                <w:sz w:val="18"/>
                <w:szCs w:val="18"/>
              </w:rPr>
            </w:pPr>
          </w:p>
        </w:tc>
        <w:tc>
          <w:tcPr>
            <w:tcW w:w="935" w:type="pct"/>
            <w:tcBorders>
              <w:top w:val="single" w:sz="8" w:space="0" w:color="auto"/>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博时标普500</w:t>
            </w:r>
          </w:p>
        </w:tc>
        <w:tc>
          <w:tcPr>
            <w:tcW w:w="486" w:type="pct"/>
            <w:tcBorders>
              <w:top w:val="single" w:sz="8" w:space="0" w:color="auto"/>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25%</w:t>
            </w:r>
          </w:p>
        </w:tc>
        <w:tc>
          <w:tcPr>
            <w:tcW w:w="355" w:type="pct"/>
            <w:vMerge/>
            <w:tcBorders>
              <w:top w:val="single" w:sz="8" w:space="0" w:color="auto"/>
              <w:left w:val="single" w:sz="4" w:space="0" w:color="auto"/>
              <w:bottom w:val="single" w:sz="4" w:space="0" w:color="000000"/>
              <w:right w:val="single" w:sz="4" w:space="0" w:color="auto"/>
            </w:tcBorders>
            <w:vAlign w:val="center"/>
          </w:tcPr>
          <w:p w:rsidR="001E3B52" w:rsidRPr="00E921CB" w:rsidRDefault="001E3B52" w:rsidP="00A422E1">
            <w:pPr>
              <w:widowControl/>
              <w:jc w:val="left"/>
              <w:rPr>
                <w:rFonts w:ascii="宋体" w:hAnsi="宋体" w:cs="宋体"/>
                <w:kern w:val="0"/>
                <w:sz w:val="18"/>
                <w:szCs w:val="18"/>
              </w:rPr>
            </w:pPr>
          </w:p>
        </w:tc>
        <w:tc>
          <w:tcPr>
            <w:tcW w:w="986" w:type="pct"/>
            <w:tcBorders>
              <w:top w:val="single" w:sz="8" w:space="0" w:color="auto"/>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建信货币</w:t>
            </w:r>
          </w:p>
        </w:tc>
        <w:tc>
          <w:tcPr>
            <w:tcW w:w="435" w:type="pct"/>
            <w:tcBorders>
              <w:top w:val="single" w:sz="8" w:space="0" w:color="auto"/>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30%</w:t>
            </w:r>
          </w:p>
        </w:tc>
      </w:tr>
      <w:tr w:rsidR="001E3B52" w:rsidRPr="00E921CB" w:rsidTr="00A422E1">
        <w:trPr>
          <w:trHeight w:val="285"/>
          <w:jc w:val="center"/>
        </w:trPr>
        <w:tc>
          <w:tcPr>
            <w:tcW w:w="935" w:type="pct"/>
            <w:tcBorders>
              <w:top w:val="nil"/>
              <w:left w:val="single" w:sz="4" w:space="0" w:color="auto"/>
              <w:bottom w:val="single" w:sz="4" w:space="0" w:color="auto"/>
              <w:right w:val="single" w:sz="4" w:space="0" w:color="auto"/>
            </w:tcBorders>
            <w:shd w:val="clear" w:color="auto" w:fill="auto"/>
            <w:noWrap/>
            <w:vAlign w:val="bottom"/>
          </w:tcPr>
          <w:p w:rsidR="001E3B52" w:rsidRPr="00E921CB" w:rsidRDefault="001E3B52" w:rsidP="00A422E1">
            <w:pPr>
              <w:jc w:val="center"/>
              <w:rPr>
                <w:rFonts w:ascii="宋体" w:hAnsi="宋体" w:cs="宋体"/>
                <w:sz w:val="18"/>
                <w:szCs w:val="18"/>
              </w:rPr>
            </w:pPr>
            <w:r w:rsidRPr="00E921CB">
              <w:rPr>
                <w:rFonts w:hint="eastAsia"/>
                <w:sz w:val="18"/>
                <w:szCs w:val="18"/>
              </w:rPr>
              <w:t>添富价值</w:t>
            </w:r>
          </w:p>
        </w:tc>
        <w:tc>
          <w:tcPr>
            <w:tcW w:w="486" w:type="pct"/>
            <w:tcBorders>
              <w:top w:val="nil"/>
              <w:left w:val="nil"/>
              <w:bottom w:val="single" w:sz="4" w:space="0" w:color="auto"/>
              <w:right w:val="single" w:sz="4" w:space="0" w:color="auto"/>
            </w:tcBorders>
            <w:shd w:val="clear" w:color="auto" w:fill="auto"/>
            <w:noWrap/>
            <w:vAlign w:val="bottom"/>
          </w:tcPr>
          <w:p w:rsidR="001E3B52" w:rsidRPr="00E921CB" w:rsidRDefault="00E921CB" w:rsidP="00A422E1">
            <w:pPr>
              <w:widowControl/>
              <w:jc w:val="center"/>
              <w:rPr>
                <w:rFonts w:ascii="宋体" w:hAnsi="宋体" w:cs="宋体"/>
                <w:kern w:val="0"/>
                <w:sz w:val="18"/>
                <w:szCs w:val="18"/>
              </w:rPr>
            </w:pPr>
            <w:r w:rsidRPr="00E921CB">
              <w:rPr>
                <w:rFonts w:ascii="宋体" w:hAnsi="宋体" w:cs="宋体" w:hint="eastAsia"/>
                <w:kern w:val="0"/>
                <w:sz w:val="18"/>
                <w:szCs w:val="18"/>
              </w:rPr>
              <w:t>5</w:t>
            </w:r>
            <w:r w:rsidR="001E3B52" w:rsidRPr="00E921CB">
              <w:rPr>
                <w:rFonts w:ascii="宋体" w:hAnsi="宋体" w:cs="宋体" w:hint="eastAsia"/>
                <w:kern w:val="0"/>
                <w:sz w:val="18"/>
                <w:szCs w:val="18"/>
              </w:rPr>
              <w:t>0%</w:t>
            </w:r>
          </w:p>
        </w:tc>
        <w:tc>
          <w:tcPr>
            <w:tcW w:w="382" w:type="pct"/>
            <w:vMerge/>
            <w:tcBorders>
              <w:top w:val="single" w:sz="4" w:space="0" w:color="auto"/>
              <w:left w:val="single" w:sz="4" w:space="0" w:color="auto"/>
              <w:bottom w:val="single" w:sz="4" w:space="0" w:color="000000"/>
              <w:right w:val="single" w:sz="4" w:space="0" w:color="auto"/>
            </w:tcBorders>
            <w:vAlign w:val="center"/>
          </w:tcPr>
          <w:p w:rsidR="001E3B52" w:rsidRPr="00E921CB" w:rsidRDefault="001E3B52" w:rsidP="00A422E1">
            <w:pPr>
              <w:widowControl/>
              <w:jc w:val="left"/>
              <w:rPr>
                <w:rFonts w:ascii="宋体" w:hAnsi="宋体" w:cs="宋体"/>
                <w:kern w:val="0"/>
                <w:sz w:val="18"/>
                <w:szCs w:val="18"/>
              </w:rPr>
            </w:pPr>
          </w:p>
        </w:tc>
        <w:tc>
          <w:tcPr>
            <w:tcW w:w="935"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添富价值</w:t>
            </w:r>
          </w:p>
        </w:tc>
        <w:tc>
          <w:tcPr>
            <w:tcW w:w="486"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25%</w:t>
            </w:r>
          </w:p>
        </w:tc>
        <w:tc>
          <w:tcPr>
            <w:tcW w:w="355" w:type="pct"/>
            <w:vMerge/>
            <w:tcBorders>
              <w:top w:val="single" w:sz="4" w:space="0" w:color="auto"/>
              <w:left w:val="single" w:sz="4" w:space="0" w:color="auto"/>
              <w:bottom w:val="single" w:sz="4" w:space="0" w:color="000000"/>
              <w:right w:val="single" w:sz="4" w:space="0" w:color="auto"/>
            </w:tcBorders>
            <w:vAlign w:val="center"/>
          </w:tcPr>
          <w:p w:rsidR="001E3B52" w:rsidRPr="00E921CB" w:rsidRDefault="001E3B52" w:rsidP="00A422E1">
            <w:pPr>
              <w:widowControl/>
              <w:jc w:val="left"/>
              <w:rPr>
                <w:rFonts w:ascii="宋体" w:hAnsi="宋体" w:cs="宋体"/>
                <w:kern w:val="0"/>
                <w:sz w:val="18"/>
                <w:szCs w:val="18"/>
              </w:rPr>
            </w:pPr>
          </w:p>
        </w:tc>
        <w:tc>
          <w:tcPr>
            <w:tcW w:w="986"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华夏现金</w:t>
            </w:r>
          </w:p>
        </w:tc>
        <w:tc>
          <w:tcPr>
            <w:tcW w:w="435"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35%</w:t>
            </w:r>
          </w:p>
        </w:tc>
      </w:tr>
      <w:tr w:rsidR="001E3B52" w:rsidRPr="005B5148" w:rsidTr="00A422E1">
        <w:trPr>
          <w:trHeight w:val="285"/>
          <w:jc w:val="center"/>
        </w:trPr>
        <w:tc>
          <w:tcPr>
            <w:tcW w:w="935" w:type="pct"/>
            <w:tcBorders>
              <w:top w:val="nil"/>
              <w:left w:val="single" w:sz="4" w:space="0" w:color="auto"/>
              <w:bottom w:val="single" w:sz="4" w:space="0" w:color="auto"/>
              <w:right w:val="single" w:sz="4" w:space="0" w:color="auto"/>
            </w:tcBorders>
            <w:shd w:val="clear" w:color="auto" w:fill="auto"/>
            <w:noWrap/>
            <w:vAlign w:val="bottom"/>
          </w:tcPr>
          <w:p w:rsidR="001E3B52" w:rsidRPr="00E921CB" w:rsidRDefault="001E3B52" w:rsidP="00A422E1">
            <w:pPr>
              <w:jc w:val="center"/>
              <w:rPr>
                <w:rFonts w:ascii="宋体" w:hAnsi="宋体" w:cs="宋体"/>
                <w:kern w:val="0"/>
                <w:sz w:val="18"/>
                <w:szCs w:val="18"/>
              </w:rPr>
            </w:pPr>
            <w:r w:rsidRPr="00E921CB">
              <w:rPr>
                <w:rFonts w:hint="eastAsia"/>
                <w:sz w:val="18"/>
                <w:szCs w:val="18"/>
              </w:rPr>
              <w:t>国泰纳斯达克</w:t>
            </w:r>
            <w:r w:rsidRPr="00E921CB">
              <w:rPr>
                <w:rFonts w:hint="eastAsia"/>
                <w:sz w:val="18"/>
                <w:szCs w:val="18"/>
              </w:rPr>
              <w:t>100</w:t>
            </w:r>
          </w:p>
        </w:tc>
        <w:tc>
          <w:tcPr>
            <w:tcW w:w="486"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30%</w:t>
            </w:r>
          </w:p>
        </w:tc>
        <w:tc>
          <w:tcPr>
            <w:tcW w:w="382" w:type="pct"/>
            <w:vMerge/>
            <w:tcBorders>
              <w:top w:val="single" w:sz="4" w:space="0" w:color="auto"/>
              <w:left w:val="single" w:sz="4" w:space="0" w:color="auto"/>
              <w:bottom w:val="single" w:sz="4" w:space="0" w:color="000000"/>
              <w:right w:val="single" w:sz="4" w:space="0" w:color="auto"/>
            </w:tcBorders>
            <w:vAlign w:val="center"/>
          </w:tcPr>
          <w:p w:rsidR="001E3B52" w:rsidRPr="00E921CB" w:rsidRDefault="001E3B52" w:rsidP="00A422E1">
            <w:pPr>
              <w:widowControl/>
              <w:jc w:val="left"/>
              <w:rPr>
                <w:rFonts w:ascii="宋体" w:hAnsi="宋体" w:cs="宋体"/>
                <w:kern w:val="0"/>
                <w:sz w:val="18"/>
                <w:szCs w:val="18"/>
              </w:rPr>
            </w:pPr>
          </w:p>
        </w:tc>
        <w:tc>
          <w:tcPr>
            <w:tcW w:w="935"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天弘永利B</w:t>
            </w:r>
          </w:p>
        </w:tc>
        <w:tc>
          <w:tcPr>
            <w:tcW w:w="486"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50%</w:t>
            </w:r>
          </w:p>
        </w:tc>
        <w:tc>
          <w:tcPr>
            <w:tcW w:w="355" w:type="pct"/>
            <w:vMerge/>
            <w:tcBorders>
              <w:top w:val="single" w:sz="4" w:space="0" w:color="auto"/>
              <w:left w:val="single" w:sz="4" w:space="0" w:color="auto"/>
              <w:bottom w:val="single" w:sz="4" w:space="0" w:color="000000"/>
              <w:right w:val="single" w:sz="4" w:space="0" w:color="auto"/>
            </w:tcBorders>
            <w:vAlign w:val="center"/>
          </w:tcPr>
          <w:p w:rsidR="001E3B52" w:rsidRPr="00E921CB" w:rsidRDefault="001E3B52" w:rsidP="00A422E1">
            <w:pPr>
              <w:widowControl/>
              <w:jc w:val="left"/>
              <w:rPr>
                <w:rFonts w:ascii="宋体" w:hAnsi="宋体" w:cs="宋体"/>
                <w:kern w:val="0"/>
                <w:sz w:val="18"/>
                <w:szCs w:val="18"/>
              </w:rPr>
            </w:pPr>
          </w:p>
        </w:tc>
        <w:tc>
          <w:tcPr>
            <w:tcW w:w="986" w:type="pct"/>
            <w:tcBorders>
              <w:top w:val="nil"/>
              <w:left w:val="nil"/>
              <w:bottom w:val="single" w:sz="4" w:space="0" w:color="auto"/>
              <w:right w:val="single" w:sz="4" w:space="0" w:color="auto"/>
            </w:tcBorders>
            <w:shd w:val="clear" w:color="auto" w:fill="auto"/>
            <w:noWrap/>
            <w:vAlign w:val="bottom"/>
          </w:tcPr>
          <w:p w:rsidR="001E3B52" w:rsidRPr="00E921CB"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广发货币B</w:t>
            </w:r>
          </w:p>
        </w:tc>
        <w:tc>
          <w:tcPr>
            <w:tcW w:w="435" w:type="pct"/>
            <w:tcBorders>
              <w:top w:val="nil"/>
              <w:left w:val="nil"/>
              <w:bottom w:val="single" w:sz="4" w:space="0" w:color="auto"/>
              <w:right w:val="single" w:sz="4" w:space="0" w:color="auto"/>
            </w:tcBorders>
            <w:shd w:val="clear" w:color="auto" w:fill="auto"/>
            <w:noWrap/>
            <w:vAlign w:val="bottom"/>
          </w:tcPr>
          <w:p w:rsidR="001E3B52" w:rsidRPr="005B5148" w:rsidRDefault="001E3B52" w:rsidP="00A422E1">
            <w:pPr>
              <w:widowControl/>
              <w:jc w:val="center"/>
              <w:rPr>
                <w:rFonts w:ascii="宋体" w:hAnsi="宋体" w:cs="宋体"/>
                <w:kern w:val="0"/>
                <w:sz w:val="18"/>
                <w:szCs w:val="18"/>
              </w:rPr>
            </w:pPr>
            <w:r w:rsidRPr="00E921CB">
              <w:rPr>
                <w:rFonts w:ascii="宋体" w:hAnsi="宋体" w:cs="宋体" w:hint="eastAsia"/>
                <w:kern w:val="0"/>
                <w:sz w:val="18"/>
                <w:szCs w:val="18"/>
              </w:rPr>
              <w:t>35%</w:t>
            </w:r>
          </w:p>
        </w:tc>
      </w:tr>
    </w:tbl>
    <w:p w:rsidR="001E3B52" w:rsidRDefault="001E3B52" w:rsidP="00564B59">
      <w:pPr>
        <w:rPr>
          <w:rFonts w:ascii="楷体_GB2312" w:eastAsia="楷体_GB2312"/>
          <w:noProof/>
          <w:color w:val="000000"/>
        </w:rPr>
      </w:pPr>
      <w:r w:rsidRPr="00156066">
        <w:rPr>
          <w:rFonts w:ascii="楷体_GB2312" w:eastAsia="楷体_GB2312" w:hint="eastAsia"/>
          <w:noProof/>
          <w:color w:val="000000"/>
        </w:rPr>
        <w:t>来源：上海证券基金评价研究中心</w:t>
      </w:r>
    </w:p>
    <w:p w:rsidR="00141178" w:rsidRPr="00144B03" w:rsidRDefault="00141178" w:rsidP="00141178">
      <w:pPr>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表2推荐基金基本情况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0"/>
        <w:gridCol w:w="756"/>
        <w:gridCol w:w="936"/>
        <w:gridCol w:w="849"/>
        <w:gridCol w:w="1903"/>
        <w:gridCol w:w="1903"/>
      </w:tblGrid>
      <w:tr w:rsidR="00050159" w:rsidRPr="002072D1" w:rsidTr="00B56956">
        <w:trPr>
          <w:trHeight w:val="397"/>
          <w:tblHeader/>
          <w:jc w:val="center"/>
        </w:trPr>
        <w:tc>
          <w:tcPr>
            <w:tcW w:w="0" w:type="auto"/>
            <w:shd w:val="clear" w:color="auto" w:fill="0000FF"/>
            <w:noWrap/>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bookmarkStart w:id="0" w:name="_Toc271023583"/>
            <w:r>
              <w:rPr>
                <w:rFonts w:ascii="楷体_GB2312" w:eastAsia="楷体_GB2312" w:hAnsi="宋体" w:cs="宋体" w:hint="eastAsia"/>
                <w:b/>
                <w:bCs/>
                <w:color w:val="FFFFFF"/>
                <w:kern w:val="0"/>
                <w:szCs w:val="21"/>
              </w:rPr>
              <w:t>基金名称</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Pr>
                <w:rFonts w:ascii="楷体_GB2312" w:eastAsia="楷体_GB2312" w:hAnsi="宋体" w:cs="宋体" w:hint="eastAsia"/>
                <w:b/>
                <w:bCs/>
                <w:color w:val="FFFFFF"/>
                <w:kern w:val="0"/>
                <w:szCs w:val="21"/>
              </w:rPr>
              <w:t>代码</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类型</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管理人</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上证</w:t>
            </w:r>
            <w:r>
              <w:rPr>
                <w:rFonts w:ascii="楷体_GB2312" w:eastAsia="楷体_GB2312" w:hAnsi="宋体" w:cs="宋体" w:hint="eastAsia"/>
                <w:b/>
                <w:bCs/>
                <w:color w:val="FFFFFF"/>
                <w:kern w:val="0"/>
                <w:szCs w:val="21"/>
              </w:rPr>
              <w:t>三年</w:t>
            </w:r>
            <w:r w:rsidRPr="00604445">
              <w:rPr>
                <w:rFonts w:ascii="楷体_GB2312" w:eastAsia="楷体_GB2312" w:hAnsi="宋体" w:cs="宋体" w:hint="eastAsia"/>
                <w:b/>
                <w:bCs/>
                <w:color w:val="FFFFFF"/>
                <w:kern w:val="0"/>
                <w:szCs w:val="21"/>
              </w:rPr>
              <w:t>综合评级</w:t>
            </w:r>
          </w:p>
        </w:tc>
        <w:tc>
          <w:tcPr>
            <w:tcW w:w="0" w:type="auto"/>
            <w:shd w:val="clear" w:color="auto" w:fill="0000FF"/>
            <w:vAlign w:val="center"/>
          </w:tcPr>
          <w:p w:rsidR="00050159" w:rsidRPr="00604445" w:rsidRDefault="00050159" w:rsidP="00A422E1">
            <w:pPr>
              <w:keepLines/>
              <w:adjustRightInd w:val="0"/>
              <w:snapToGrid w:val="0"/>
              <w:jc w:val="center"/>
              <w:rPr>
                <w:rFonts w:ascii="楷体_GB2312" w:eastAsia="楷体_GB2312" w:hAnsi="宋体" w:cs="宋体"/>
                <w:b/>
                <w:bCs/>
                <w:color w:val="FFFFFF"/>
                <w:kern w:val="0"/>
                <w:szCs w:val="21"/>
              </w:rPr>
            </w:pPr>
            <w:r w:rsidRPr="00604445">
              <w:rPr>
                <w:rFonts w:ascii="楷体_GB2312" w:eastAsia="楷体_GB2312" w:hAnsi="宋体" w:cs="宋体" w:hint="eastAsia"/>
                <w:b/>
                <w:bCs/>
                <w:color w:val="FFFFFF"/>
                <w:kern w:val="0"/>
                <w:szCs w:val="21"/>
              </w:rPr>
              <w:t>上证</w:t>
            </w:r>
            <w:r>
              <w:rPr>
                <w:rFonts w:ascii="楷体_GB2312" w:eastAsia="楷体_GB2312" w:hAnsi="宋体" w:cs="宋体" w:hint="eastAsia"/>
                <w:b/>
                <w:bCs/>
                <w:color w:val="FFFFFF"/>
                <w:kern w:val="0"/>
                <w:szCs w:val="21"/>
              </w:rPr>
              <w:t>三年选证</w:t>
            </w:r>
            <w:r w:rsidRPr="00604445">
              <w:rPr>
                <w:rFonts w:ascii="楷体_GB2312" w:eastAsia="楷体_GB2312" w:hAnsi="宋体" w:cs="宋体" w:hint="eastAsia"/>
                <w:b/>
                <w:bCs/>
                <w:color w:val="FFFFFF"/>
                <w:kern w:val="0"/>
                <w:szCs w:val="21"/>
              </w:rPr>
              <w:t>评级</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银河成长</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8261FB">
              <w:rPr>
                <w:rFonts w:ascii="楷体_GB2312" w:eastAsia="楷体_GB2312" w:hAnsi="宋体" w:cs="宋体"/>
                <w:color w:val="0D0D0D"/>
                <w:kern w:val="0"/>
                <w:sz w:val="18"/>
                <w:szCs w:val="18"/>
              </w:rPr>
              <w:t>519668</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股票型</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银河</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sidRPr="004B0A06">
              <w:rPr>
                <w:rFonts w:ascii="楷体_GB2312" w:eastAsia="楷体_GB2312" w:hAnsi="宋体" w:cs="宋体" w:hint="eastAsia"/>
                <w:color w:val="FF0000"/>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添富价值</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8261FB">
              <w:rPr>
                <w:rFonts w:ascii="楷体_GB2312" w:eastAsia="楷体_GB2312" w:hAnsi="宋体" w:cs="宋体"/>
                <w:color w:val="0D0D0D"/>
                <w:kern w:val="0"/>
                <w:sz w:val="18"/>
                <w:szCs w:val="18"/>
              </w:rPr>
              <w:t>519069</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股票型</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汇添富</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r>
      <w:tr w:rsidR="00050159" w:rsidRPr="002072D1" w:rsidTr="00B56956">
        <w:trPr>
          <w:trHeight w:val="397"/>
          <w:jc w:val="center"/>
        </w:trPr>
        <w:tc>
          <w:tcPr>
            <w:tcW w:w="0" w:type="auto"/>
            <w:shd w:val="clear" w:color="auto" w:fill="auto"/>
            <w:vAlign w:val="center"/>
          </w:tcPr>
          <w:p w:rsidR="00050159" w:rsidRPr="00156DE0" w:rsidRDefault="00050159" w:rsidP="00050159">
            <w:pPr>
              <w:keepLines/>
              <w:adjustRightInd w:val="0"/>
              <w:snapToGrid w:val="0"/>
              <w:jc w:val="center"/>
              <w:rPr>
                <w:rFonts w:ascii="楷体_GB2312" w:eastAsia="楷体_GB2312" w:hAnsi="宋体" w:cs="宋体"/>
                <w:b/>
                <w:bCs/>
                <w:color w:val="0D0D0D"/>
                <w:kern w:val="0"/>
                <w:sz w:val="18"/>
                <w:szCs w:val="18"/>
              </w:rPr>
            </w:pPr>
            <w:r w:rsidRPr="000E2698">
              <w:rPr>
                <w:rFonts w:ascii="楷体_GB2312" w:eastAsia="楷体_GB2312" w:hAnsi="宋体" w:cs="宋体" w:hint="eastAsia"/>
                <w:b/>
                <w:color w:val="000000" w:themeColor="text1"/>
                <w:kern w:val="0"/>
                <w:szCs w:val="21"/>
              </w:rPr>
              <w:t>国泰纳</w:t>
            </w:r>
            <w:r>
              <w:rPr>
                <w:rFonts w:ascii="楷体_GB2312" w:eastAsia="楷体_GB2312" w:hAnsi="宋体" w:cs="宋体" w:hint="eastAsia"/>
                <w:b/>
                <w:color w:val="000000" w:themeColor="text1"/>
                <w:kern w:val="0"/>
                <w:szCs w:val="21"/>
              </w:rPr>
              <w:t>指</w:t>
            </w:r>
            <w:r w:rsidRPr="000E2698">
              <w:rPr>
                <w:rFonts w:ascii="楷体_GB2312" w:eastAsia="楷体_GB2312" w:hAnsi="宋体" w:cs="宋体" w:hint="eastAsia"/>
                <w:b/>
                <w:color w:val="000000" w:themeColor="text1"/>
                <w:kern w:val="0"/>
                <w:szCs w:val="21"/>
              </w:rPr>
              <w:t>100</w:t>
            </w:r>
          </w:p>
        </w:tc>
        <w:tc>
          <w:tcPr>
            <w:tcW w:w="0" w:type="auto"/>
            <w:shd w:val="clear" w:color="auto" w:fill="auto"/>
            <w:vAlign w:val="center"/>
          </w:tcPr>
          <w:p w:rsidR="00050159" w:rsidRPr="008261FB" w:rsidRDefault="00050159" w:rsidP="00A422E1">
            <w:pPr>
              <w:keepLines/>
              <w:adjustRightInd w:val="0"/>
              <w:snapToGrid w:val="0"/>
              <w:jc w:val="center"/>
              <w:rPr>
                <w:rFonts w:ascii="楷体_GB2312" w:eastAsia="楷体_GB2312" w:hAnsi="宋体" w:cs="宋体"/>
                <w:color w:val="0D0D0D"/>
                <w:kern w:val="0"/>
                <w:sz w:val="18"/>
                <w:szCs w:val="18"/>
              </w:rPr>
            </w:pPr>
            <w:r w:rsidRPr="00050159">
              <w:rPr>
                <w:rFonts w:ascii="楷体_GB2312" w:eastAsia="楷体_GB2312" w:hAnsi="宋体" w:cs="宋体"/>
                <w:color w:val="0D0D0D"/>
                <w:kern w:val="0"/>
                <w:sz w:val="18"/>
                <w:szCs w:val="18"/>
              </w:rPr>
              <w:t>160213</w:t>
            </w:r>
          </w:p>
        </w:tc>
        <w:tc>
          <w:tcPr>
            <w:tcW w:w="0" w:type="auto"/>
            <w:vAlign w:val="center"/>
          </w:tcPr>
          <w:p w:rsidR="00050159"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QDII</w:t>
            </w:r>
          </w:p>
        </w:tc>
        <w:tc>
          <w:tcPr>
            <w:tcW w:w="0" w:type="auto"/>
            <w:vAlign w:val="center"/>
          </w:tcPr>
          <w:p w:rsidR="00050159"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国泰</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3677C">
              <w:rPr>
                <w:rFonts w:ascii="楷体_GB2312" w:eastAsia="楷体_GB2312" w:hAnsi="宋体" w:cs="宋体" w:hint="eastAsia"/>
                <w:color w:val="000000"/>
                <w:kern w:val="0"/>
                <w:sz w:val="18"/>
                <w:szCs w:val="18"/>
              </w:rPr>
              <w:t>—</w:t>
            </w: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sidRPr="000E2698">
              <w:rPr>
                <w:rFonts w:ascii="楷体_GB2312" w:eastAsia="楷体_GB2312" w:hAnsi="宋体" w:cs="宋体" w:hint="eastAsia"/>
                <w:b/>
                <w:color w:val="000000" w:themeColor="text1"/>
                <w:kern w:val="0"/>
                <w:szCs w:val="21"/>
              </w:rPr>
              <w:t>博时标普500</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0</w:t>
            </w:r>
            <w:r w:rsidRPr="00050159">
              <w:rPr>
                <w:rFonts w:ascii="楷体_GB2312" w:eastAsia="楷体_GB2312" w:hAnsi="宋体" w:cs="宋体"/>
                <w:color w:val="0D0D0D"/>
                <w:kern w:val="0"/>
                <w:sz w:val="18"/>
                <w:szCs w:val="18"/>
              </w:rPr>
              <w:t>50025</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QDII</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博时</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3677C">
              <w:rPr>
                <w:rFonts w:ascii="楷体_GB2312" w:eastAsia="楷体_GB2312" w:hAnsi="宋体" w:cs="宋体" w:hint="eastAsia"/>
                <w:color w:val="000000"/>
                <w:kern w:val="0"/>
                <w:sz w:val="18"/>
                <w:szCs w:val="18"/>
              </w:rPr>
              <w:t>—</w:t>
            </w: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天弘永利B</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420102</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债券型</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Pr>
                <w:rFonts w:ascii="楷体_GB2312" w:eastAsia="楷体_GB2312" w:hAnsi="宋体" w:cs="宋体" w:hint="eastAsia"/>
                <w:color w:val="0D0D0D"/>
                <w:kern w:val="0"/>
                <w:sz w:val="18"/>
                <w:szCs w:val="18"/>
              </w:rPr>
              <w:t>天弘</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c>
          <w:tcPr>
            <w:tcW w:w="0" w:type="auto"/>
            <w:shd w:val="clear" w:color="auto" w:fill="auto"/>
            <w:vAlign w:val="center"/>
          </w:tcPr>
          <w:p w:rsidR="00050159" w:rsidRPr="0033677C" w:rsidRDefault="00050159" w:rsidP="00A422E1">
            <w:pPr>
              <w:keepLines/>
              <w:adjustRightInd w:val="0"/>
              <w:snapToGrid w:val="0"/>
              <w:jc w:val="center"/>
              <w:rPr>
                <w:rFonts w:ascii="楷体_GB2312" w:eastAsia="楷体_GB2312" w:hAnsi="宋体" w:cs="宋体"/>
                <w:color w:val="000000"/>
                <w:kern w:val="0"/>
                <w:sz w:val="18"/>
                <w:szCs w:val="18"/>
              </w:rPr>
            </w:pPr>
            <w:r>
              <w:rPr>
                <w:rFonts w:ascii="楷体_GB2312" w:eastAsia="楷体_GB2312" w:hAnsi="宋体" w:cs="宋体" w:hint="eastAsia"/>
                <w:color w:val="FF0000"/>
                <w:kern w:val="0"/>
                <w:sz w:val="18"/>
                <w:szCs w:val="18"/>
              </w:rPr>
              <w:t>★★★★</w:t>
            </w:r>
            <w:r w:rsidRPr="004B0A06">
              <w:rPr>
                <w:rFonts w:ascii="楷体_GB2312" w:eastAsia="楷体_GB2312" w:hAnsi="宋体" w:cs="宋体" w:hint="eastAsia"/>
                <w:color w:val="FF0000"/>
                <w:kern w:val="0"/>
                <w:sz w:val="18"/>
                <w:szCs w:val="18"/>
              </w:rPr>
              <w:t>★</w:t>
            </w:r>
          </w:p>
        </w:tc>
      </w:tr>
      <w:tr w:rsidR="00050159" w:rsidRPr="003F3857"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sidRPr="001941AC">
              <w:rPr>
                <w:rFonts w:ascii="楷体_GB2312" w:eastAsia="楷体_GB2312" w:hAnsi="宋体" w:cs="宋体" w:hint="eastAsia"/>
                <w:b/>
                <w:bCs/>
                <w:color w:val="0D0D0D"/>
                <w:kern w:val="0"/>
                <w:sz w:val="18"/>
                <w:szCs w:val="18"/>
              </w:rPr>
              <w:t>华夏现金</w:t>
            </w:r>
          </w:p>
        </w:tc>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8C0ECC">
              <w:rPr>
                <w:rFonts w:ascii="楷体_GB2312" w:eastAsia="楷体_GB2312" w:hAnsi="宋体" w:cs="宋体"/>
                <w:color w:val="0D0D0D"/>
                <w:kern w:val="0"/>
                <w:sz w:val="18"/>
                <w:szCs w:val="18"/>
              </w:rPr>
              <w:t>003003</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1941AC">
              <w:rPr>
                <w:rFonts w:ascii="楷体_GB2312" w:eastAsia="楷体_GB2312" w:hAnsi="宋体" w:cs="宋体" w:hint="eastAsia"/>
                <w:color w:val="0D0D0D"/>
                <w:kern w:val="0"/>
                <w:sz w:val="18"/>
                <w:szCs w:val="18"/>
              </w:rPr>
              <w:t>货币市场</w:t>
            </w:r>
          </w:p>
        </w:tc>
        <w:tc>
          <w:tcPr>
            <w:tcW w:w="0" w:type="auto"/>
            <w:vAlign w:val="center"/>
          </w:tcPr>
          <w:p w:rsidR="00050159" w:rsidRPr="001941AC" w:rsidRDefault="00050159" w:rsidP="00A422E1">
            <w:pPr>
              <w:keepLines/>
              <w:adjustRightInd w:val="0"/>
              <w:snapToGrid w:val="0"/>
              <w:jc w:val="center"/>
              <w:rPr>
                <w:rFonts w:ascii="楷体_GB2312" w:eastAsia="楷体_GB2312" w:hAnsi="宋体" w:cs="宋体"/>
                <w:color w:val="0D0D0D"/>
                <w:kern w:val="0"/>
                <w:sz w:val="18"/>
                <w:szCs w:val="18"/>
              </w:rPr>
            </w:pPr>
            <w:r w:rsidRPr="001941AC">
              <w:rPr>
                <w:rFonts w:ascii="楷体_GB2312" w:eastAsia="楷体_GB2312" w:hAnsi="宋体" w:cs="宋体" w:hint="eastAsia"/>
                <w:color w:val="0D0D0D"/>
                <w:kern w:val="0"/>
                <w:sz w:val="18"/>
                <w:szCs w:val="18"/>
              </w:rPr>
              <w:t>华夏</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3677C">
              <w:rPr>
                <w:rFonts w:ascii="楷体_GB2312" w:eastAsia="楷体_GB2312" w:hAnsi="宋体" w:cs="宋体" w:hint="eastAsia"/>
                <w:color w:val="000000"/>
                <w:kern w:val="0"/>
                <w:sz w:val="18"/>
                <w:szCs w:val="18"/>
              </w:rPr>
              <w:t>—</w:t>
            </w: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3F3857"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sidRPr="001941AC">
              <w:rPr>
                <w:rFonts w:ascii="楷体_GB2312" w:eastAsia="楷体_GB2312" w:hAnsi="宋体" w:cs="宋体" w:hint="eastAsia"/>
                <w:b/>
                <w:bCs/>
                <w:color w:val="0D0D0D"/>
                <w:kern w:val="0"/>
                <w:sz w:val="18"/>
                <w:szCs w:val="18"/>
              </w:rPr>
              <w:t>广发货币B</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color w:val="0D0D0D"/>
                <w:kern w:val="0"/>
                <w:sz w:val="18"/>
                <w:szCs w:val="18"/>
              </w:rPr>
              <w:t>270014</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货币市场</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广发</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r w:rsidR="00050159" w:rsidRPr="002072D1" w:rsidTr="00B56956">
        <w:trPr>
          <w:trHeight w:val="397"/>
          <w:jc w:val="center"/>
        </w:trPr>
        <w:tc>
          <w:tcPr>
            <w:tcW w:w="0" w:type="auto"/>
            <w:shd w:val="clear" w:color="auto" w:fill="auto"/>
            <w:vAlign w:val="center"/>
          </w:tcPr>
          <w:p w:rsidR="00050159" w:rsidRPr="001941AC" w:rsidRDefault="00050159" w:rsidP="00A422E1">
            <w:pPr>
              <w:keepLines/>
              <w:adjustRightInd w:val="0"/>
              <w:snapToGrid w:val="0"/>
              <w:jc w:val="center"/>
              <w:rPr>
                <w:rFonts w:ascii="楷体_GB2312" w:eastAsia="楷体_GB2312" w:hAnsi="宋体" w:cs="宋体"/>
                <w:b/>
                <w:bCs/>
                <w:color w:val="0D0D0D"/>
                <w:kern w:val="0"/>
                <w:sz w:val="18"/>
                <w:szCs w:val="18"/>
              </w:rPr>
            </w:pPr>
            <w:r>
              <w:rPr>
                <w:rFonts w:ascii="楷体_GB2312" w:eastAsia="楷体_GB2312" w:hAnsi="宋体" w:cs="宋体" w:hint="eastAsia"/>
                <w:b/>
                <w:bCs/>
                <w:color w:val="0D0D0D"/>
                <w:kern w:val="0"/>
                <w:sz w:val="18"/>
                <w:szCs w:val="18"/>
              </w:rPr>
              <w:t>建信货币</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color w:val="0D0D0D"/>
                <w:kern w:val="0"/>
                <w:sz w:val="18"/>
                <w:szCs w:val="18"/>
              </w:rPr>
              <w:t>530002</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货币市场</w:t>
            </w:r>
          </w:p>
        </w:tc>
        <w:tc>
          <w:tcPr>
            <w:tcW w:w="0" w:type="auto"/>
            <w:vAlign w:val="center"/>
          </w:tcPr>
          <w:p w:rsidR="00050159" w:rsidRPr="003F3857" w:rsidRDefault="00050159" w:rsidP="00A422E1">
            <w:pPr>
              <w:keepLines/>
              <w:adjustRightInd w:val="0"/>
              <w:snapToGrid w:val="0"/>
              <w:jc w:val="center"/>
              <w:rPr>
                <w:rFonts w:ascii="楷体_GB2312" w:eastAsia="楷体_GB2312" w:hAnsi="宋体" w:cs="宋体"/>
                <w:color w:val="0D0D0D"/>
                <w:kern w:val="0"/>
                <w:sz w:val="18"/>
                <w:szCs w:val="18"/>
              </w:rPr>
            </w:pPr>
            <w:r w:rsidRPr="003F3857">
              <w:rPr>
                <w:rFonts w:ascii="楷体_GB2312" w:eastAsia="楷体_GB2312" w:hAnsi="宋体" w:cs="宋体" w:hint="eastAsia"/>
                <w:color w:val="0D0D0D"/>
                <w:kern w:val="0"/>
                <w:sz w:val="18"/>
                <w:szCs w:val="18"/>
              </w:rPr>
              <w:t>建信</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c>
          <w:tcPr>
            <w:tcW w:w="0" w:type="auto"/>
            <w:shd w:val="clear" w:color="auto" w:fill="auto"/>
            <w:vAlign w:val="center"/>
          </w:tcPr>
          <w:p w:rsidR="00050159" w:rsidRPr="003F3857" w:rsidRDefault="00050159" w:rsidP="00A422E1">
            <w:pPr>
              <w:keepLines/>
              <w:adjustRightInd w:val="0"/>
              <w:snapToGrid w:val="0"/>
              <w:jc w:val="center"/>
              <w:rPr>
                <w:rFonts w:ascii="楷体_GB2312" w:eastAsia="楷体_GB2312" w:hAnsi="宋体" w:cs="宋体"/>
                <w:b/>
                <w:bCs/>
                <w:color w:val="0D0D0D"/>
                <w:kern w:val="0"/>
                <w:sz w:val="18"/>
                <w:szCs w:val="18"/>
              </w:rPr>
            </w:pPr>
            <w:r w:rsidRPr="003F3857">
              <w:rPr>
                <w:rFonts w:ascii="楷体_GB2312" w:eastAsia="楷体_GB2312" w:hAnsi="宋体" w:cs="宋体" w:hint="eastAsia"/>
                <w:b/>
                <w:bCs/>
                <w:color w:val="0D0D0D"/>
                <w:kern w:val="0"/>
                <w:sz w:val="18"/>
                <w:szCs w:val="18"/>
              </w:rPr>
              <w:t>——</w:t>
            </w:r>
          </w:p>
        </w:tc>
      </w:tr>
    </w:tbl>
    <w:bookmarkEnd w:id="0"/>
    <w:p w:rsidR="00141178" w:rsidRDefault="00141178" w:rsidP="00141178">
      <w:pPr>
        <w:keepLines/>
        <w:adjustRightInd w:val="0"/>
        <w:snapToGrid w:val="0"/>
        <w:ind w:firstLineChars="300" w:firstLine="630"/>
        <w:rPr>
          <w:rFonts w:ascii="楷体_GB2312" w:eastAsia="楷体_GB2312"/>
          <w:noProof/>
        </w:rPr>
      </w:pPr>
      <w:r>
        <w:rPr>
          <w:rFonts w:ascii="楷体_GB2312" w:eastAsia="楷体_GB2312" w:hint="eastAsia"/>
          <w:noProof/>
        </w:rPr>
        <w:t>来源：</w:t>
      </w:r>
      <w:r w:rsidRPr="003D6908">
        <w:rPr>
          <w:rFonts w:ascii="楷体_GB2312" w:eastAsia="楷体_GB2312" w:hint="eastAsia"/>
          <w:noProof/>
        </w:rPr>
        <w:t>wind上海证券基金评价研究中心</w:t>
      </w:r>
      <w:r>
        <w:rPr>
          <w:rFonts w:ascii="楷体_GB2312" w:eastAsia="楷体_GB2312" w:hint="eastAsia"/>
          <w:noProof/>
        </w:rPr>
        <w:t>。</w:t>
      </w:r>
    </w:p>
    <w:p w:rsidR="00141178" w:rsidRDefault="00141178" w:rsidP="00141178">
      <w:pPr>
        <w:keepLines/>
        <w:adjustRightInd w:val="0"/>
        <w:snapToGrid w:val="0"/>
        <w:ind w:firstLineChars="300" w:firstLine="630"/>
        <w:rPr>
          <w:rFonts w:ascii="楷体_GB2312" w:eastAsia="楷体_GB2312"/>
          <w:noProof/>
        </w:rPr>
      </w:pPr>
      <w:r>
        <w:rPr>
          <w:rFonts w:ascii="楷体_GB2312" w:eastAsia="楷体_GB2312" w:hint="eastAsia"/>
          <w:noProof/>
        </w:rPr>
        <w:t>信息披露：嘉实精选、</w:t>
      </w:r>
      <w:r w:rsidRPr="00E3456D">
        <w:rPr>
          <w:rFonts w:ascii="楷体_GB2312" w:eastAsia="楷体_GB2312" w:hint="eastAsia"/>
          <w:noProof/>
        </w:rPr>
        <w:t>华夏现金</w:t>
      </w:r>
      <w:r>
        <w:rPr>
          <w:rFonts w:ascii="楷体_GB2312" w:eastAsia="楷体_GB2312" w:hint="eastAsia"/>
          <w:noProof/>
        </w:rPr>
        <w:t>、华夏亚债A上海证券代销</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银河成长：</w:t>
      </w:r>
      <w:r w:rsidRPr="000E2698">
        <w:rPr>
          <w:rFonts w:ascii="楷体_GB2312" w:eastAsia="楷体_GB2312" w:hAnsi="宋体" w:cs="宋体" w:hint="eastAsia"/>
          <w:color w:val="000000" w:themeColor="text1"/>
          <w:kern w:val="0"/>
          <w:szCs w:val="21"/>
        </w:rPr>
        <w:t>当前投资风格转向小盘成长，资产结构稳定，选证能力尤为突出，持续赢得上海证券选证能力五星评级。基金业绩持续稳定，组合风险收益配比效果突出。</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添富价值：</w:t>
      </w:r>
      <w:r w:rsidRPr="000E2698">
        <w:rPr>
          <w:rFonts w:ascii="楷体_GB2312" w:eastAsia="楷体_GB2312" w:hAnsi="宋体" w:cs="宋体" w:hint="eastAsia"/>
          <w:color w:val="000000" w:themeColor="text1"/>
          <w:kern w:val="0"/>
          <w:szCs w:val="21"/>
        </w:rPr>
        <w:t>该基金保持充分投资，行业结构调整灵活，对市场结构性机会把握能力出色，选证能力和综合评级均获最高五星评级。基金经理稳定，投资风格和策略延续性强，历史管理绩效出色且稳定性强。</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国泰纳斯达克100：</w:t>
      </w:r>
      <w:r w:rsidRPr="000E2698">
        <w:rPr>
          <w:rFonts w:ascii="楷体_GB2312" w:eastAsia="楷体_GB2312" w:hAnsi="宋体" w:cs="宋体" w:hint="eastAsia"/>
          <w:color w:val="000000" w:themeColor="text1"/>
          <w:kern w:val="0"/>
          <w:szCs w:val="21"/>
        </w:rPr>
        <w:t>该基金紧密跟踪美国纳斯达克100指数，该指</w:t>
      </w:r>
      <w:r w:rsidRPr="000E2698">
        <w:rPr>
          <w:rFonts w:ascii="楷体_GB2312" w:eastAsia="楷体_GB2312" w:hAnsi="宋体" w:cs="宋体" w:hint="eastAsia"/>
          <w:color w:val="000000" w:themeColor="text1"/>
          <w:kern w:val="0"/>
          <w:szCs w:val="21"/>
        </w:rPr>
        <w:lastRenderedPageBreak/>
        <w:t>数均具有高科技、高成长和非金融的特点，成分股包括苹果、微软等世界知名科技公司，可以说是美国科技股的代表。</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博时标普500：</w:t>
      </w:r>
      <w:r w:rsidRPr="000E2698">
        <w:rPr>
          <w:rFonts w:ascii="楷体_GB2312" w:eastAsia="楷体_GB2312" w:hAnsi="宋体" w:cs="宋体" w:hint="eastAsia"/>
          <w:color w:val="000000" w:themeColor="text1"/>
          <w:kern w:val="0"/>
          <w:szCs w:val="21"/>
        </w:rPr>
        <w:t>该基金紧密跟踪美国标普500指数，是跟踪标普美国市场宽基指数中规模最大的一只基金。</w:t>
      </w:r>
      <w:r w:rsidR="005C7781">
        <w:rPr>
          <w:rFonts w:ascii="楷体_GB2312" w:eastAsia="楷体_GB2312" w:hAnsi="宋体" w:cs="宋体" w:hint="eastAsia"/>
          <w:color w:val="000000" w:themeColor="text1"/>
          <w:kern w:val="0"/>
          <w:szCs w:val="21"/>
        </w:rPr>
        <w:t>标的指数</w:t>
      </w:r>
      <w:r w:rsidRPr="000E2698">
        <w:rPr>
          <w:rFonts w:ascii="楷体_GB2312" w:eastAsia="楷体_GB2312" w:hAnsi="宋体" w:cs="宋体"/>
          <w:color w:val="000000" w:themeColor="text1"/>
          <w:kern w:val="0"/>
          <w:szCs w:val="21"/>
        </w:rPr>
        <w:t>成份股覆盖美国经济中主要行业的500家代表性公司，被广泛用来代表美国股票市场的发展动态，是全球资本市场上</w:t>
      </w:r>
      <w:r w:rsidRPr="000E2698">
        <w:rPr>
          <w:rFonts w:ascii="楷体_GB2312" w:eastAsia="楷体_GB2312" w:hAnsi="宋体" w:cs="宋体" w:hint="eastAsia"/>
          <w:color w:val="000000" w:themeColor="text1"/>
          <w:kern w:val="0"/>
          <w:szCs w:val="21"/>
        </w:rPr>
        <w:t>最</w:t>
      </w:r>
      <w:r w:rsidRPr="000E2698">
        <w:rPr>
          <w:rFonts w:ascii="楷体_GB2312" w:eastAsia="楷体_GB2312" w:hAnsi="宋体" w:cs="宋体"/>
          <w:color w:val="000000" w:themeColor="text1"/>
          <w:kern w:val="0"/>
          <w:szCs w:val="21"/>
        </w:rPr>
        <w:t>为知名的股票指数</w:t>
      </w:r>
      <w:r w:rsidRPr="000E2698">
        <w:rPr>
          <w:rFonts w:ascii="楷体_GB2312" w:eastAsia="楷体_GB2312" w:hAnsi="宋体" w:cs="宋体" w:hint="eastAsia"/>
          <w:color w:val="000000" w:themeColor="text1"/>
          <w:kern w:val="0"/>
          <w:szCs w:val="21"/>
        </w:rPr>
        <w:t>之一。</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天弘永利B：</w:t>
      </w:r>
      <w:r w:rsidRPr="000E2698">
        <w:rPr>
          <w:rFonts w:ascii="楷体_GB2312" w:eastAsia="楷体_GB2312" w:hAnsi="宋体" w:cs="宋体" w:hint="eastAsia"/>
          <w:color w:val="000000" w:themeColor="text1"/>
          <w:kern w:val="0"/>
          <w:szCs w:val="21"/>
        </w:rPr>
        <w:t>基金定位二级债基，但在实际运作中基本不参与股票市场投资，专注于债券市场投资。券种配置上主要投资于企业债和企业短期融资券。基金业绩长期持续，投资管理能力排名靠前。</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建信货币：</w:t>
      </w:r>
      <w:r w:rsidRPr="000E2698">
        <w:rPr>
          <w:rFonts w:ascii="楷体_GB2312" w:eastAsia="楷体_GB2312" w:hAnsi="宋体" w:cs="宋体" w:hint="eastAsia"/>
          <w:color w:val="000000" w:themeColor="text1"/>
          <w:kern w:val="0"/>
          <w:szCs w:val="21"/>
        </w:rPr>
        <w:t>基金设立于2006年4月，截至2013年底基金规模</w:t>
      </w:r>
      <w:r w:rsidRPr="000E2698">
        <w:rPr>
          <w:rFonts w:ascii="楷体_GB2312" w:eastAsia="楷体_GB2312" w:hAnsi="宋体" w:cs="宋体"/>
          <w:color w:val="000000" w:themeColor="text1"/>
          <w:kern w:val="0"/>
          <w:szCs w:val="21"/>
        </w:rPr>
        <w:t>295</w:t>
      </w:r>
      <w:r w:rsidRPr="000E2698">
        <w:rPr>
          <w:rFonts w:ascii="楷体_GB2312" w:eastAsia="楷体_GB2312" w:hAnsi="宋体" w:cs="宋体" w:hint="eastAsia"/>
          <w:color w:val="000000" w:themeColor="text1"/>
          <w:kern w:val="0"/>
          <w:szCs w:val="21"/>
        </w:rPr>
        <w:t>亿份，流动性较好，安全性高，历史业绩稳定。</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华夏现金A：</w:t>
      </w:r>
      <w:r w:rsidRPr="000E2698">
        <w:rPr>
          <w:rFonts w:ascii="楷体_GB2312" w:eastAsia="楷体_GB2312" w:hAnsi="宋体" w:cs="宋体" w:hint="eastAsia"/>
          <w:color w:val="000000" w:themeColor="text1"/>
          <w:kern w:val="0"/>
          <w:szCs w:val="21"/>
        </w:rPr>
        <w:t>基金设立于04年4月，截至2013年底基金规模</w:t>
      </w:r>
      <w:r w:rsidRPr="000E2698">
        <w:rPr>
          <w:rFonts w:ascii="楷体_GB2312" w:eastAsia="楷体_GB2312" w:hAnsi="宋体" w:cs="宋体"/>
          <w:color w:val="000000" w:themeColor="text1"/>
          <w:kern w:val="0"/>
          <w:szCs w:val="21"/>
        </w:rPr>
        <w:t>4</w:t>
      </w:r>
      <w:r w:rsidRPr="000E2698">
        <w:rPr>
          <w:rFonts w:ascii="楷体_GB2312" w:eastAsia="楷体_GB2312" w:hAnsi="宋体" w:cs="宋体" w:hint="eastAsia"/>
          <w:color w:val="000000" w:themeColor="text1"/>
          <w:kern w:val="0"/>
          <w:szCs w:val="21"/>
        </w:rPr>
        <w:t>37亿份，属于市场中规模最大的货币市场基金之一，流动性较好，历史管理业绩优秀。基金经理曲波管理该基金超过三年，经验丰富。</w:t>
      </w:r>
    </w:p>
    <w:p w:rsidR="00050159" w:rsidRPr="000E2698" w:rsidRDefault="00050159" w:rsidP="00DC2903">
      <w:pPr>
        <w:spacing w:beforeLines="50"/>
        <w:ind w:leftChars="1350" w:left="2835" w:firstLineChars="202" w:firstLine="426"/>
        <w:rPr>
          <w:rFonts w:ascii="楷体_GB2312" w:eastAsia="楷体_GB2312" w:hAnsi="宋体" w:cs="宋体"/>
          <w:color w:val="000000" w:themeColor="text1"/>
          <w:kern w:val="0"/>
          <w:szCs w:val="21"/>
        </w:rPr>
      </w:pPr>
      <w:r w:rsidRPr="000E2698">
        <w:rPr>
          <w:rFonts w:ascii="楷体_GB2312" w:eastAsia="楷体_GB2312" w:hAnsi="宋体" w:cs="宋体" w:hint="eastAsia"/>
          <w:b/>
          <w:color w:val="000000" w:themeColor="text1"/>
          <w:kern w:val="0"/>
          <w:szCs w:val="21"/>
        </w:rPr>
        <w:t>广发货币B：</w:t>
      </w:r>
      <w:r w:rsidRPr="000E2698">
        <w:rPr>
          <w:rFonts w:ascii="楷体_GB2312" w:eastAsia="楷体_GB2312" w:hAnsi="宋体" w:cs="宋体" w:hint="eastAsia"/>
          <w:color w:val="000000" w:themeColor="text1"/>
          <w:kern w:val="0"/>
          <w:szCs w:val="21"/>
        </w:rPr>
        <w:t>基金设立于05年5月，截至2013底，基金A、B份额合计263亿份，流动性较好，历史管理业绩优秀，已连续三年超过一年定期存款和同期货币市场基金平均收益。</w:t>
      </w:r>
    </w:p>
    <w:p w:rsidR="00A3457F" w:rsidRPr="00715274" w:rsidRDefault="005E4592" w:rsidP="00141178">
      <w:pPr>
        <w:pageBreakBefore/>
        <w:ind w:firstLineChars="1000" w:firstLine="2811"/>
        <w:rPr>
          <w:rFonts w:ascii="黑体" w:eastAsia="黑体" w:hAnsi="宋体-18030" w:cs="宋体-18030"/>
          <w:b/>
          <w:bCs/>
          <w:color w:val="000000"/>
          <w:kern w:val="44"/>
          <w:sz w:val="28"/>
          <w:szCs w:val="28"/>
        </w:rPr>
      </w:pPr>
      <w:r>
        <w:rPr>
          <w:rFonts w:ascii="黑体" w:eastAsia="黑体" w:hAnsi="宋体-18030" w:cs="宋体-18030" w:hint="eastAsia"/>
          <w:b/>
          <w:bCs/>
          <w:color w:val="000000"/>
          <w:kern w:val="44"/>
          <w:sz w:val="28"/>
          <w:szCs w:val="28"/>
        </w:rPr>
        <w:lastRenderedPageBreak/>
        <w:t>二</w:t>
      </w:r>
      <w:r w:rsidR="004938DD">
        <w:rPr>
          <w:rFonts w:ascii="黑体" w:eastAsia="黑体" w:hAnsi="宋体-18030" w:cs="宋体-18030" w:hint="eastAsia"/>
          <w:b/>
          <w:bCs/>
          <w:color w:val="000000"/>
          <w:kern w:val="44"/>
          <w:sz w:val="28"/>
          <w:szCs w:val="28"/>
        </w:rPr>
        <w:t>、</w:t>
      </w:r>
      <w:r w:rsidR="00804862" w:rsidRPr="00715274">
        <w:rPr>
          <w:rFonts w:ascii="黑体" w:eastAsia="黑体" w:hAnsi="宋体-18030" w:cs="宋体-18030" w:hint="eastAsia"/>
          <w:b/>
          <w:bCs/>
          <w:color w:val="000000"/>
          <w:kern w:val="44"/>
          <w:sz w:val="28"/>
          <w:szCs w:val="28"/>
        </w:rPr>
        <w:t>市场回顾</w:t>
      </w:r>
    </w:p>
    <w:p w:rsidR="00742E0D" w:rsidRPr="005E4592" w:rsidRDefault="00217C1F" w:rsidP="00DC2903">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（一）基础市场回顾：</w:t>
      </w:r>
      <w:r w:rsidR="00312FDC" w:rsidRPr="005E4592">
        <w:rPr>
          <w:rFonts w:ascii="黑体" w:eastAsia="黑体" w:hAnsi="宋体-18030" w:cs="宋体-18030" w:hint="eastAsia"/>
          <w:b/>
          <w:bCs/>
          <w:color w:val="003366"/>
          <w:kern w:val="44"/>
          <w:sz w:val="24"/>
        </w:rPr>
        <w:t>股市</w:t>
      </w:r>
      <w:r w:rsidR="005C4BA9" w:rsidRPr="005E4592">
        <w:rPr>
          <w:rFonts w:ascii="黑体" w:eastAsia="黑体" w:hAnsi="宋体-18030" w:cs="宋体-18030" w:hint="eastAsia"/>
          <w:b/>
          <w:bCs/>
          <w:color w:val="003366"/>
          <w:kern w:val="44"/>
          <w:sz w:val="24"/>
        </w:rPr>
        <w:t>先扬后抑</w:t>
      </w:r>
      <w:r w:rsidR="00BA01BC" w:rsidRPr="005E4592">
        <w:rPr>
          <w:rFonts w:ascii="黑体" w:eastAsia="黑体" w:hAnsi="宋体-18030" w:cs="宋体-18030" w:hint="eastAsia"/>
          <w:b/>
          <w:bCs/>
          <w:color w:val="003366"/>
          <w:kern w:val="44"/>
          <w:sz w:val="24"/>
        </w:rPr>
        <w:t>，</w:t>
      </w:r>
      <w:r w:rsidR="00312FDC" w:rsidRPr="005E4592">
        <w:rPr>
          <w:rFonts w:ascii="黑体" w:eastAsia="黑体" w:hAnsi="宋体-18030" w:cs="宋体-18030" w:hint="eastAsia"/>
          <w:b/>
          <w:bCs/>
          <w:color w:val="003366"/>
          <w:kern w:val="44"/>
          <w:sz w:val="24"/>
        </w:rPr>
        <w:t>债市收益率曲线陡峭化下移</w:t>
      </w:r>
    </w:p>
    <w:p w:rsidR="003746A0" w:rsidRPr="003A2393" w:rsidRDefault="00AB4E61" w:rsidP="00DC2903">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3</w:t>
      </w:r>
      <w:r w:rsidR="005C4BA9" w:rsidRPr="003A2393">
        <w:rPr>
          <w:rFonts w:ascii="楷体_GB2312" w:eastAsia="楷体_GB2312" w:hAnsi="宋体" w:cs="宋体" w:hint="eastAsia"/>
          <w:kern w:val="0"/>
          <w:szCs w:val="21"/>
        </w:rPr>
        <w:t>月</w:t>
      </w:r>
      <w:r>
        <w:rPr>
          <w:rFonts w:ascii="楷体_GB2312" w:eastAsia="楷体_GB2312" w:hAnsi="宋体" w:cs="宋体" w:hint="eastAsia"/>
          <w:kern w:val="0"/>
          <w:szCs w:val="21"/>
        </w:rPr>
        <w:t>市场持续震荡，尽管期限受房地产融资开放的刺激出现短期反弹，但疲软的经济继续压制股市表现，全月</w:t>
      </w:r>
      <w:r w:rsidR="00425550" w:rsidRPr="003A2393">
        <w:rPr>
          <w:rFonts w:ascii="楷体_GB2312" w:eastAsia="楷体_GB2312" w:hAnsi="宋体" w:cs="宋体" w:hint="eastAsia"/>
          <w:kern w:val="0"/>
          <w:szCs w:val="21"/>
        </w:rPr>
        <w:t>上证指数</w:t>
      </w:r>
      <w:r>
        <w:rPr>
          <w:rFonts w:ascii="楷体_GB2312" w:eastAsia="楷体_GB2312" w:hAnsi="宋体" w:cs="宋体" w:hint="eastAsia"/>
          <w:kern w:val="0"/>
          <w:szCs w:val="21"/>
        </w:rPr>
        <w:t>下跌</w:t>
      </w:r>
      <w:r w:rsidR="00425550" w:rsidRPr="003A2393">
        <w:rPr>
          <w:rFonts w:ascii="楷体_GB2312" w:eastAsia="楷体_GB2312" w:hAnsi="宋体" w:cs="宋体"/>
          <w:kern w:val="0"/>
          <w:szCs w:val="21"/>
        </w:rPr>
        <w:t>1.</w:t>
      </w:r>
      <w:r w:rsidR="00352B48">
        <w:rPr>
          <w:rFonts w:ascii="楷体_GB2312" w:eastAsia="楷体_GB2312" w:hAnsi="宋体" w:cs="宋体" w:hint="eastAsia"/>
          <w:kern w:val="0"/>
          <w:szCs w:val="21"/>
        </w:rPr>
        <w:t>12</w:t>
      </w:r>
      <w:r w:rsidR="00425550" w:rsidRPr="003A2393">
        <w:rPr>
          <w:rFonts w:ascii="楷体_GB2312" w:eastAsia="楷体_GB2312" w:hAnsi="宋体" w:cs="宋体" w:hint="eastAsia"/>
          <w:kern w:val="0"/>
          <w:szCs w:val="21"/>
        </w:rPr>
        <w:t>%、</w:t>
      </w:r>
      <w:r w:rsidR="00352B48">
        <w:rPr>
          <w:rFonts w:ascii="楷体_GB2312" w:eastAsia="楷体_GB2312" w:hAnsi="宋体" w:cs="宋体" w:hint="eastAsia"/>
          <w:kern w:val="0"/>
          <w:szCs w:val="21"/>
        </w:rPr>
        <w:t>深圳综指在创业板和中小盘的拖累下重创</w:t>
      </w:r>
      <w:r w:rsidR="00425550" w:rsidRPr="003A2393">
        <w:rPr>
          <w:rFonts w:ascii="楷体_GB2312" w:eastAsia="楷体_GB2312" w:hAnsi="宋体" w:cs="宋体"/>
          <w:kern w:val="0"/>
          <w:szCs w:val="21"/>
        </w:rPr>
        <w:t>4.</w:t>
      </w:r>
      <w:r w:rsidR="00352B48">
        <w:rPr>
          <w:rFonts w:ascii="楷体_GB2312" w:eastAsia="楷体_GB2312" w:hAnsi="宋体" w:cs="宋体" w:hint="eastAsia"/>
          <w:kern w:val="0"/>
          <w:szCs w:val="21"/>
        </w:rPr>
        <w:t>67</w:t>
      </w:r>
      <w:r w:rsidR="00425550" w:rsidRPr="003A2393">
        <w:rPr>
          <w:rFonts w:ascii="楷体_GB2312" w:eastAsia="楷体_GB2312" w:hAnsi="宋体" w:cs="宋体" w:hint="eastAsia"/>
          <w:kern w:val="0"/>
          <w:szCs w:val="21"/>
        </w:rPr>
        <w:t>%</w:t>
      </w:r>
      <w:r w:rsidR="00352B48">
        <w:rPr>
          <w:rFonts w:ascii="楷体_GB2312" w:eastAsia="楷体_GB2312" w:hAnsi="宋体" w:cs="宋体" w:hint="eastAsia"/>
          <w:kern w:val="0"/>
          <w:szCs w:val="21"/>
        </w:rPr>
        <w:t>，</w:t>
      </w:r>
      <w:r w:rsidR="00BE7EBF">
        <w:rPr>
          <w:rFonts w:ascii="楷体_GB2312" w:eastAsia="楷体_GB2312" w:hAnsi="宋体" w:cs="宋体" w:hint="eastAsia"/>
          <w:kern w:val="0"/>
          <w:szCs w:val="21"/>
        </w:rPr>
        <w:t>一举</w:t>
      </w:r>
      <w:r w:rsidR="00352B48">
        <w:rPr>
          <w:rFonts w:ascii="楷体_GB2312" w:eastAsia="楷体_GB2312" w:hAnsi="宋体" w:cs="宋体" w:hint="eastAsia"/>
          <w:kern w:val="0"/>
          <w:szCs w:val="21"/>
        </w:rPr>
        <w:t>抹平</w:t>
      </w:r>
      <w:r w:rsidR="00BE7EBF">
        <w:rPr>
          <w:rFonts w:ascii="楷体_GB2312" w:eastAsia="楷体_GB2312" w:hAnsi="宋体" w:cs="宋体" w:hint="eastAsia"/>
          <w:kern w:val="0"/>
          <w:szCs w:val="21"/>
        </w:rPr>
        <w:t>之前连续两个月的上涨</w:t>
      </w:r>
      <w:r w:rsidR="00425550" w:rsidRPr="003A2393">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6A2497" w:rsidRPr="00051DF8" w:rsidTr="00362A1B">
        <w:tc>
          <w:tcPr>
            <w:tcW w:w="4820" w:type="dxa"/>
            <w:gridSpan w:val="2"/>
            <w:tcBorders>
              <w:bottom w:val="single" w:sz="4" w:space="0" w:color="FF0000"/>
            </w:tcBorders>
          </w:tcPr>
          <w:p w:rsidR="006A2497" w:rsidRPr="00144B03" w:rsidRDefault="006A2497"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w:t>
            </w:r>
            <w:r w:rsidRPr="00144B03">
              <w:rPr>
                <w:rFonts w:ascii="楷体_GB2312" w:eastAsia="楷体_GB2312" w:hint="eastAsia"/>
                <w:b/>
                <w:color w:val="000000"/>
                <w:sz w:val="18"/>
                <w:szCs w:val="18"/>
              </w:rPr>
              <w:t>、</w:t>
            </w:r>
            <w:r w:rsidR="000C19E7" w:rsidRPr="00144B03">
              <w:rPr>
                <w:rFonts w:ascii="楷体_GB2312" w:eastAsia="楷体_GB2312" w:hint="eastAsia"/>
                <w:b/>
                <w:color w:val="000000"/>
                <w:sz w:val="18"/>
                <w:szCs w:val="18"/>
              </w:rPr>
              <w:t>本月</w:t>
            </w:r>
            <w:r w:rsidR="00C23DAD" w:rsidRPr="00144B03">
              <w:rPr>
                <w:rFonts w:ascii="楷体_GB2312" w:eastAsia="楷体_GB2312" w:hint="eastAsia"/>
                <w:b/>
                <w:color w:val="000000"/>
                <w:sz w:val="18"/>
                <w:szCs w:val="18"/>
              </w:rPr>
              <w:t>沪深两市</w:t>
            </w:r>
            <w:r w:rsidR="005F0468" w:rsidRPr="00144B03">
              <w:rPr>
                <w:rFonts w:ascii="楷体_GB2312" w:eastAsia="楷体_GB2312" w:hint="eastAsia"/>
                <w:b/>
                <w:color w:val="000000"/>
                <w:sz w:val="18"/>
                <w:szCs w:val="18"/>
              </w:rPr>
              <w:t>累计涨幅</w:t>
            </w:r>
            <w:r w:rsidR="000C19E7" w:rsidRPr="00144B03">
              <w:rPr>
                <w:rFonts w:ascii="楷体_GB2312" w:eastAsia="楷体_GB2312" w:hint="eastAsia"/>
                <w:b/>
                <w:color w:val="000000"/>
                <w:sz w:val="18"/>
                <w:szCs w:val="18"/>
              </w:rPr>
              <w:t>（%）</w:t>
            </w:r>
          </w:p>
        </w:tc>
        <w:tc>
          <w:tcPr>
            <w:tcW w:w="4536" w:type="dxa"/>
            <w:tcBorders>
              <w:bottom w:val="single" w:sz="4" w:space="0" w:color="FF0000"/>
            </w:tcBorders>
          </w:tcPr>
          <w:p w:rsidR="006A2497" w:rsidRPr="00144B03" w:rsidRDefault="006A2497"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2</w:t>
            </w:r>
            <w:r w:rsidRPr="00144B03">
              <w:rPr>
                <w:rFonts w:ascii="楷体_GB2312" w:eastAsia="楷体_GB2312" w:hint="eastAsia"/>
                <w:b/>
                <w:color w:val="000000"/>
                <w:sz w:val="18"/>
                <w:szCs w:val="18"/>
              </w:rPr>
              <w:t>、</w:t>
            </w:r>
            <w:r w:rsidR="000C19E7" w:rsidRPr="00144B03">
              <w:rPr>
                <w:rFonts w:ascii="楷体_GB2312" w:eastAsia="楷体_GB2312" w:hint="eastAsia"/>
                <w:b/>
                <w:color w:val="000000"/>
                <w:sz w:val="18"/>
                <w:szCs w:val="18"/>
              </w:rPr>
              <w:t>最近12月沪深两市涨跌幅（%）</w:t>
            </w:r>
          </w:p>
        </w:tc>
      </w:tr>
      <w:tr w:rsidR="006A2497" w:rsidRPr="00B22D95" w:rsidTr="00270162">
        <w:tc>
          <w:tcPr>
            <w:tcW w:w="4678" w:type="dxa"/>
            <w:tcBorders>
              <w:top w:val="single" w:sz="4" w:space="0" w:color="FF0000"/>
              <w:bottom w:val="single" w:sz="4" w:space="0" w:color="FF0000"/>
            </w:tcBorders>
          </w:tcPr>
          <w:p w:rsidR="006A2497" w:rsidRPr="00B22D95" w:rsidRDefault="00270162" w:rsidP="00362A1B">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689000" cy="176518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95183" cy="1769248"/>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6A2497" w:rsidRPr="00B22D95" w:rsidRDefault="00270162" w:rsidP="000C19E7">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76530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830830" cy="1765300"/>
                          </a:xfrm>
                          <a:prstGeom prst="rect">
                            <a:avLst/>
                          </a:prstGeom>
                          <a:noFill/>
                          <a:ln w="9525">
                            <a:noFill/>
                            <a:miter lim="800000"/>
                            <a:headEnd/>
                            <a:tailEnd/>
                          </a:ln>
                        </pic:spPr>
                      </pic:pic>
                    </a:graphicData>
                  </a:graphic>
                </wp:inline>
              </w:drawing>
            </w:r>
          </w:p>
        </w:tc>
      </w:tr>
    </w:tbl>
    <w:p w:rsidR="005578EC" w:rsidRPr="00156066" w:rsidRDefault="00564B59" w:rsidP="001914BE">
      <w:pPr>
        <w:rPr>
          <w:rFonts w:ascii="楷体_GB2312" w:eastAsia="楷体_GB2312"/>
          <w:noProof/>
          <w:color w:val="000000"/>
        </w:rPr>
      </w:pPr>
      <w:r>
        <w:rPr>
          <w:rFonts w:ascii="楷体_GB2312" w:eastAsia="楷体_GB2312" w:hint="eastAsia"/>
          <w:noProof/>
          <w:color w:val="000000"/>
        </w:rPr>
        <w:t>来源：</w:t>
      </w:r>
      <w:r w:rsidR="005578EC" w:rsidRPr="00156066">
        <w:rPr>
          <w:rFonts w:ascii="楷体_GB2312" w:eastAsia="楷体_GB2312" w:hint="eastAsia"/>
          <w:noProof/>
          <w:color w:val="000000"/>
        </w:rPr>
        <w:t>wind</w:t>
      </w:r>
      <w:r w:rsidR="005578EC">
        <w:rPr>
          <w:rFonts w:ascii="楷体_GB2312" w:eastAsia="楷体_GB2312" w:hint="eastAsia"/>
          <w:noProof/>
          <w:color w:val="000000"/>
        </w:rPr>
        <w:t>，</w:t>
      </w:r>
      <w:r w:rsidR="005578EC" w:rsidRPr="00156066">
        <w:rPr>
          <w:rFonts w:ascii="楷体_GB2312" w:eastAsia="楷体_GB2312" w:hint="eastAsia"/>
          <w:noProof/>
          <w:color w:val="000000"/>
        </w:rPr>
        <w:t>上海证券基金评价研究中心</w:t>
      </w:r>
    </w:p>
    <w:p w:rsidR="005E032A" w:rsidRPr="003A2393" w:rsidRDefault="00170214" w:rsidP="00DC2903">
      <w:pPr>
        <w:spacing w:beforeLines="50"/>
        <w:ind w:leftChars="1350" w:left="2835" w:firstLineChars="202" w:firstLine="424"/>
        <w:rPr>
          <w:rFonts w:ascii="楷体_GB2312" w:eastAsia="楷体_GB2312" w:hAnsi="宋体" w:cs="宋体"/>
          <w:kern w:val="0"/>
          <w:szCs w:val="21"/>
        </w:rPr>
      </w:pPr>
      <w:r w:rsidRPr="003A2393">
        <w:rPr>
          <w:rFonts w:ascii="楷体_GB2312" w:eastAsia="楷体_GB2312" w:hAnsi="宋体" w:cs="宋体" w:hint="eastAsia"/>
          <w:kern w:val="0"/>
          <w:szCs w:val="21"/>
        </w:rPr>
        <w:t>主板市场</w:t>
      </w:r>
      <w:r w:rsidR="00692877">
        <w:rPr>
          <w:rFonts w:ascii="楷体_GB2312" w:eastAsia="楷体_GB2312" w:hAnsi="宋体" w:cs="宋体" w:hint="eastAsia"/>
          <w:kern w:val="0"/>
          <w:szCs w:val="21"/>
        </w:rPr>
        <w:t>结构逆转</w:t>
      </w:r>
      <w:r w:rsidR="00113CD9" w:rsidRPr="003A2393">
        <w:rPr>
          <w:rFonts w:ascii="楷体_GB2312" w:eastAsia="楷体_GB2312" w:hAnsi="宋体" w:cs="宋体" w:hint="eastAsia"/>
          <w:kern w:val="0"/>
          <w:szCs w:val="21"/>
        </w:rPr>
        <w:t>，</w:t>
      </w:r>
      <w:r w:rsidR="005A7293">
        <w:rPr>
          <w:rFonts w:ascii="楷体_GB2312" w:eastAsia="楷体_GB2312" w:hAnsi="宋体" w:cs="宋体" w:hint="eastAsia"/>
          <w:kern w:val="0"/>
          <w:szCs w:val="21"/>
        </w:rPr>
        <w:t>大盘价值板块成为市场的稳定器，小盘成长板块迎来大幅下跌。具体来看，</w:t>
      </w:r>
      <w:r w:rsidR="00692877">
        <w:rPr>
          <w:rFonts w:ascii="楷体_GB2312" w:eastAsia="楷体_GB2312" w:hAnsi="宋体" w:cs="宋体" w:hint="eastAsia"/>
          <w:kern w:val="0"/>
          <w:szCs w:val="21"/>
        </w:rPr>
        <w:t>低市盈率指数触底反弹，</w:t>
      </w:r>
      <w:r w:rsidR="005E032A" w:rsidRPr="003A2393">
        <w:rPr>
          <w:rFonts w:ascii="楷体_GB2312" w:eastAsia="楷体_GB2312" w:hAnsi="宋体" w:cs="宋体" w:hint="eastAsia"/>
          <w:kern w:val="0"/>
          <w:szCs w:val="21"/>
        </w:rPr>
        <w:t>高市盈率指数</w:t>
      </w:r>
      <w:r w:rsidR="00C52E75">
        <w:rPr>
          <w:rFonts w:ascii="楷体_GB2312" w:eastAsia="楷体_GB2312" w:hAnsi="宋体" w:cs="宋体" w:hint="eastAsia"/>
          <w:kern w:val="0"/>
          <w:szCs w:val="21"/>
        </w:rPr>
        <w:t>带动中市盈率指数大幅走低</w:t>
      </w:r>
      <w:r w:rsidR="005E032A" w:rsidRPr="003A2393">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51039B" w:rsidRPr="00051DF8" w:rsidTr="00A422E1">
        <w:tc>
          <w:tcPr>
            <w:tcW w:w="4820" w:type="dxa"/>
            <w:gridSpan w:val="2"/>
            <w:tcBorders>
              <w:bottom w:val="single" w:sz="4" w:space="0" w:color="FF0000"/>
            </w:tcBorders>
          </w:tcPr>
          <w:p w:rsidR="0051039B" w:rsidRPr="00144B03" w:rsidRDefault="0051039B"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3</w:t>
            </w:r>
            <w:r w:rsidRPr="00144B03">
              <w:rPr>
                <w:rFonts w:ascii="楷体_GB2312" w:eastAsia="楷体_GB2312" w:hint="eastAsia"/>
                <w:b/>
                <w:color w:val="000000"/>
                <w:sz w:val="18"/>
                <w:szCs w:val="18"/>
              </w:rPr>
              <w:t>、</w:t>
            </w:r>
            <w:r w:rsidR="00B25033" w:rsidRPr="00144B03">
              <w:rPr>
                <w:rFonts w:ascii="楷体_GB2312" w:eastAsia="楷体_GB2312" w:hint="eastAsia"/>
                <w:b/>
                <w:color w:val="000000"/>
                <w:sz w:val="18"/>
                <w:szCs w:val="18"/>
              </w:rPr>
              <w:t>本月申万市场风格指数涨跌幅</w:t>
            </w:r>
            <w:r w:rsidRPr="00144B03">
              <w:rPr>
                <w:rFonts w:ascii="楷体_GB2312" w:eastAsia="楷体_GB2312" w:hint="eastAsia"/>
                <w:b/>
                <w:color w:val="000000"/>
                <w:sz w:val="18"/>
                <w:szCs w:val="18"/>
              </w:rPr>
              <w:t>（%）</w:t>
            </w:r>
          </w:p>
        </w:tc>
        <w:tc>
          <w:tcPr>
            <w:tcW w:w="4536" w:type="dxa"/>
            <w:tcBorders>
              <w:bottom w:val="single" w:sz="4" w:space="0" w:color="FF0000"/>
            </w:tcBorders>
          </w:tcPr>
          <w:p w:rsidR="0051039B" w:rsidRPr="00144B03" w:rsidRDefault="0051039B"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4</w:t>
            </w:r>
            <w:r w:rsidRPr="00144B03">
              <w:rPr>
                <w:rFonts w:ascii="楷体_GB2312" w:eastAsia="楷体_GB2312" w:hint="eastAsia"/>
                <w:b/>
                <w:color w:val="000000"/>
                <w:sz w:val="18"/>
                <w:szCs w:val="18"/>
              </w:rPr>
              <w:t>、</w:t>
            </w:r>
            <w:r w:rsidR="00B25033" w:rsidRPr="00144B03">
              <w:rPr>
                <w:rFonts w:ascii="楷体_GB2312" w:eastAsia="楷体_GB2312" w:hint="eastAsia"/>
                <w:b/>
                <w:color w:val="000000"/>
                <w:sz w:val="18"/>
                <w:szCs w:val="18"/>
              </w:rPr>
              <w:t>本月申万</w:t>
            </w:r>
            <w:r w:rsidR="004264FD" w:rsidRPr="00144B03">
              <w:rPr>
                <w:rFonts w:ascii="楷体_GB2312" w:eastAsia="楷体_GB2312" w:hint="eastAsia"/>
                <w:b/>
                <w:color w:val="000000"/>
                <w:sz w:val="18"/>
                <w:szCs w:val="18"/>
              </w:rPr>
              <w:t>一级</w:t>
            </w:r>
            <w:r w:rsidR="00B25033" w:rsidRPr="00144B03">
              <w:rPr>
                <w:rFonts w:ascii="楷体_GB2312" w:eastAsia="楷体_GB2312" w:hint="eastAsia"/>
                <w:b/>
                <w:color w:val="000000"/>
                <w:sz w:val="18"/>
                <w:szCs w:val="18"/>
              </w:rPr>
              <w:t>行业指数涨跌幅（</w:t>
            </w:r>
            <w:r w:rsidRPr="00144B03">
              <w:rPr>
                <w:rFonts w:ascii="楷体_GB2312" w:eastAsia="楷体_GB2312" w:hint="eastAsia"/>
                <w:b/>
                <w:color w:val="000000"/>
                <w:sz w:val="18"/>
                <w:szCs w:val="18"/>
              </w:rPr>
              <w:t>%）</w:t>
            </w:r>
          </w:p>
        </w:tc>
      </w:tr>
      <w:tr w:rsidR="0051039B" w:rsidRPr="00B22D95" w:rsidTr="005A7293">
        <w:tc>
          <w:tcPr>
            <w:tcW w:w="4678" w:type="dxa"/>
            <w:tcBorders>
              <w:top w:val="single" w:sz="4" w:space="0" w:color="FF0000"/>
              <w:bottom w:val="single" w:sz="4" w:space="0" w:color="FF0000"/>
            </w:tcBorders>
          </w:tcPr>
          <w:p w:rsidR="0051039B" w:rsidRPr="00B22D95" w:rsidRDefault="005A7293"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645920"/>
                  <wp:effectExtent l="19050" t="0" r="762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830830" cy="1645920"/>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51039B" w:rsidRPr="00B22D95" w:rsidRDefault="009D0EC0" w:rsidP="0051039B">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765300"/>
                  <wp:effectExtent l="1905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30830" cy="1765300"/>
                          </a:xfrm>
                          <a:prstGeom prst="rect">
                            <a:avLst/>
                          </a:prstGeom>
                          <a:noFill/>
                          <a:ln w="9525">
                            <a:noFill/>
                            <a:miter lim="800000"/>
                            <a:headEnd/>
                            <a:tailEnd/>
                          </a:ln>
                        </pic:spPr>
                      </pic:pic>
                    </a:graphicData>
                  </a:graphic>
                </wp:inline>
              </w:drawing>
            </w:r>
          </w:p>
        </w:tc>
      </w:tr>
    </w:tbl>
    <w:p w:rsidR="0051039B" w:rsidRPr="00156066" w:rsidRDefault="00564B59" w:rsidP="0051039B">
      <w:pPr>
        <w:rPr>
          <w:rFonts w:ascii="楷体_GB2312" w:eastAsia="楷体_GB2312"/>
          <w:noProof/>
          <w:color w:val="000000"/>
        </w:rPr>
      </w:pPr>
      <w:r>
        <w:rPr>
          <w:rFonts w:ascii="楷体_GB2312" w:eastAsia="楷体_GB2312" w:hint="eastAsia"/>
          <w:noProof/>
          <w:color w:val="000000"/>
        </w:rPr>
        <w:t>来源：</w:t>
      </w:r>
      <w:r w:rsidR="0051039B" w:rsidRPr="00156066">
        <w:rPr>
          <w:rFonts w:ascii="楷体_GB2312" w:eastAsia="楷体_GB2312" w:hint="eastAsia"/>
          <w:noProof/>
          <w:color w:val="000000"/>
        </w:rPr>
        <w:t>wind</w:t>
      </w:r>
      <w:r w:rsidR="0051039B">
        <w:rPr>
          <w:rFonts w:ascii="楷体_GB2312" w:eastAsia="楷体_GB2312" w:hint="eastAsia"/>
          <w:noProof/>
          <w:color w:val="000000"/>
        </w:rPr>
        <w:t>，</w:t>
      </w:r>
      <w:r w:rsidR="0051039B" w:rsidRPr="00156066">
        <w:rPr>
          <w:rFonts w:ascii="楷体_GB2312" w:eastAsia="楷体_GB2312" w:hint="eastAsia"/>
          <w:noProof/>
          <w:color w:val="000000"/>
        </w:rPr>
        <w:t>上海证券基金评价研究中心</w:t>
      </w:r>
    </w:p>
    <w:p w:rsidR="001B2444" w:rsidRDefault="004264FD" w:rsidP="00DC2903">
      <w:pPr>
        <w:spacing w:beforeLines="50"/>
        <w:ind w:leftChars="1350" w:left="2835" w:firstLineChars="202" w:firstLine="424"/>
        <w:rPr>
          <w:rFonts w:ascii="楷体_GB2312" w:eastAsia="楷体_GB2312" w:hAnsi="宋体" w:cs="宋体"/>
          <w:kern w:val="0"/>
          <w:szCs w:val="21"/>
        </w:rPr>
      </w:pPr>
      <w:bookmarkStart w:id="1" w:name="_Hlk358040553"/>
      <w:r w:rsidRPr="003A2393">
        <w:rPr>
          <w:rFonts w:ascii="楷体_GB2312" w:eastAsia="楷体_GB2312" w:hAnsi="宋体" w:cs="宋体" w:hint="eastAsia"/>
          <w:kern w:val="0"/>
          <w:szCs w:val="21"/>
        </w:rPr>
        <w:t>从行业结构来看，</w:t>
      </w:r>
      <w:r w:rsidR="00C52E75">
        <w:rPr>
          <w:rFonts w:ascii="楷体_GB2312" w:eastAsia="楷体_GB2312" w:hAnsi="宋体" w:cs="宋体" w:hint="eastAsia"/>
          <w:kern w:val="0"/>
          <w:szCs w:val="21"/>
        </w:rPr>
        <w:t>3月</w:t>
      </w:r>
      <w:r w:rsidR="004252F0">
        <w:rPr>
          <w:rFonts w:ascii="楷体_GB2312" w:eastAsia="楷体_GB2312" w:hAnsi="宋体" w:cs="宋体" w:hint="eastAsia"/>
          <w:kern w:val="0"/>
          <w:szCs w:val="21"/>
        </w:rPr>
        <w:t>市场行业热点飘移频繁，</w:t>
      </w:r>
      <w:r w:rsidR="001B2444">
        <w:rPr>
          <w:rFonts w:ascii="楷体_GB2312" w:eastAsia="楷体_GB2312" w:hAnsi="宋体" w:cs="宋体" w:hint="eastAsia"/>
          <w:kern w:val="0"/>
          <w:szCs w:val="21"/>
        </w:rPr>
        <w:t>受益于房地产上市公司融资放开，房地产行业强劲反弹</w:t>
      </w:r>
      <w:r w:rsidR="001B2444" w:rsidRPr="001B2444">
        <w:rPr>
          <w:rFonts w:ascii="楷体_GB2312" w:eastAsia="楷体_GB2312" w:hAnsi="宋体" w:cs="宋体"/>
          <w:kern w:val="0"/>
          <w:szCs w:val="21"/>
        </w:rPr>
        <w:t>10.77</w:t>
      </w:r>
      <w:r w:rsidR="001B2444">
        <w:rPr>
          <w:rFonts w:ascii="楷体_GB2312" w:eastAsia="楷体_GB2312" w:hAnsi="宋体" w:cs="宋体" w:hint="eastAsia"/>
          <w:kern w:val="0"/>
          <w:szCs w:val="21"/>
        </w:rPr>
        <w:t>%，成为上月表现最好的板块。与此同时，在之前1年多表现最为强劲的TMT板块遭遇重挫，文化传播、信息技术和电子行业分别下跌</w:t>
      </w:r>
      <w:r w:rsidR="001B2444" w:rsidRPr="001B2444">
        <w:rPr>
          <w:rFonts w:ascii="楷体_GB2312" w:eastAsia="楷体_GB2312" w:hAnsi="宋体" w:cs="宋体"/>
          <w:kern w:val="0"/>
          <w:szCs w:val="21"/>
        </w:rPr>
        <w:t>12.02</w:t>
      </w:r>
      <w:r w:rsidR="001B2444">
        <w:rPr>
          <w:rFonts w:ascii="楷体_GB2312" w:eastAsia="楷体_GB2312" w:hAnsi="宋体" w:cs="宋体" w:hint="eastAsia"/>
          <w:kern w:val="0"/>
          <w:szCs w:val="21"/>
        </w:rPr>
        <w:t>%、</w:t>
      </w:r>
      <w:r w:rsidR="001B2444" w:rsidRPr="001B2444">
        <w:rPr>
          <w:rFonts w:ascii="楷体_GB2312" w:eastAsia="楷体_GB2312" w:hAnsi="宋体" w:cs="宋体"/>
          <w:kern w:val="0"/>
          <w:szCs w:val="21"/>
        </w:rPr>
        <w:t>10.47</w:t>
      </w:r>
      <w:r w:rsidR="001B2444">
        <w:rPr>
          <w:rFonts w:ascii="楷体_GB2312" w:eastAsia="楷体_GB2312" w:hAnsi="宋体" w:cs="宋体" w:hint="eastAsia"/>
          <w:kern w:val="0"/>
          <w:szCs w:val="21"/>
        </w:rPr>
        <w:t>%、</w:t>
      </w:r>
      <w:r w:rsidR="001B2444" w:rsidRPr="001B2444">
        <w:rPr>
          <w:rFonts w:ascii="楷体_GB2312" w:eastAsia="楷体_GB2312" w:hAnsi="宋体" w:cs="宋体"/>
          <w:kern w:val="0"/>
          <w:szCs w:val="21"/>
        </w:rPr>
        <w:t>9.81</w:t>
      </w:r>
      <w:r w:rsidR="001B2444">
        <w:rPr>
          <w:rFonts w:ascii="楷体_GB2312" w:eastAsia="楷体_GB2312" w:hAnsi="宋体" w:cs="宋体" w:hint="eastAsia"/>
          <w:kern w:val="0"/>
          <w:szCs w:val="21"/>
        </w:rPr>
        <w:t>%，领跌整体市场。</w:t>
      </w:r>
    </w:p>
    <w:bookmarkEnd w:id="1"/>
    <w:p w:rsidR="00E01502" w:rsidRPr="003A2393" w:rsidRDefault="001B2444" w:rsidP="00DC2903">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3</w:t>
      </w:r>
      <w:r w:rsidR="00B35B0B" w:rsidRPr="003A2393">
        <w:rPr>
          <w:rFonts w:ascii="楷体_GB2312" w:eastAsia="楷体_GB2312" w:hAnsi="宋体" w:cs="宋体" w:hint="eastAsia"/>
          <w:kern w:val="0"/>
          <w:szCs w:val="21"/>
        </w:rPr>
        <w:t>月债市</w:t>
      </w:r>
      <w:r w:rsidR="005553C5">
        <w:rPr>
          <w:rFonts w:ascii="楷体_GB2312" w:eastAsia="楷体_GB2312" w:hAnsi="宋体" w:cs="宋体" w:hint="eastAsia"/>
          <w:kern w:val="0"/>
          <w:szCs w:val="21"/>
        </w:rPr>
        <w:t>维持震荡</w:t>
      </w:r>
      <w:r w:rsidR="00FA1DE7" w:rsidRPr="003A2393">
        <w:rPr>
          <w:rFonts w:ascii="楷体_GB2312" w:eastAsia="楷体_GB2312" w:hAnsi="宋体" w:cs="宋体" w:hint="eastAsia"/>
          <w:kern w:val="0"/>
          <w:szCs w:val="21"/>
        </w:rPr>
        <w:t>，</w:t>
      </w:r>
      <w:r w:rsidR="005553C5">
        <w:rPr>
          <w:rFonts w:ascii="楷体_GB2312" w:eastAsia="楷体_GB2312" w:hAnsi="宋体" w:cs="宋体" w:hint="eastAsia"/>
          <w:kern w:val="0"/>
          <w:szCs w:val="21"/>
        </w:rPr>
        <w:t>受资金面逐渐收紧影响，</w:t>
      </w:r>
      <w:r w:rsidR="008F1823" w:rsidRPr="003A2393">
        <w:rPr>
          <w:rFonts w:ascii="楷体_GB2312" w:eastAsia="楷体_GB2312" w:hAnsi="宋体" w:cs="宋体" w:hint="eastAsia"/>
          <w:kern w:val="0"/>
          <w:szCs w:val="21"/>
        </w:rPr>
        <w:t>收益率曲线</w:t>
      </w:r>
      <w:r w:rsidR="005553C5">
        <w:rPr>
          <w:rFonts w:ascii="楷体_GB2312" w:eastAsia="楷体_GB2312" w:hAnsi="宋体" w:cs="宋体" w:hint="eastAsia"/>
          <w:kern w:val="0"/>
          <w:szCs w:val="21"/>
        </w:rPr>
        <w:t>加剧</w:t>
      </w:r>
      <w:r w:rsidR="008F1823" w:rsidRPr="003A2393">
        <w:rPr>
          <w:rFonts w:ascii="楷体_GB2312" w:eastAsia="楷体_GB2312" w:hAnsi="宋体" w:cs="宋体" w:hint="eastAsia"/>
          <w:kern w:val="0"/>
          <w:szCs w:val="21"/>
        </w:rPr>
        <w:t>陡峭化</w:t>
      </w:r>
      <w:r w:rsidR="00F46810" w:rsidRPr="003A2393">
        <w:rPr>
          <w:rFonts w:ascii="楷体_GB2312" w:eastAsia="楷体_GB2312" w:hAnsi="宋体" w:cs="宋体" w:hint="eastAsia"/>
          <w:kern w:val="0"/>
          <w:szCs w:val="21"/>
        </w:rPr>
        <w:t>。</w:t>
      </w:r>
      <w:r w:rsidR="000F798B" w:rsidRPr="003A2393">
        <w:rPr>
          <w:rFonts w:ascii="楷体_GB2312" w:eastAsia="楷体_GB2312" w:hAnsi="宋体" w:cs="宋体" w:hint="eastAsia"/>
          <w:kern w:val="0"/>
          <w:szCs w:val="21"/>
        </w:rPr>
        <w:t>短期品种</w:t>
      </w:r>
      <w:r w:rsidR="005553C5">
        <w:rPr>
          <w:rFonts w:ascii="楷体_GB2312" w:eastAsia="楷体_GB2312" w:hAnsi="宋体" w:cs="宋体" w:hint="eastAsia"/>
          <w:kern w:val="0"/>
          <w:szCs w:val="21"/>
        </w:rPr>
        <w:t>继续表现</w:t>
      </w:r>
      <w:r w:rsidR="000F798B" w:rsidRPr="003A2393">
        <w:rPr>
          <w:rFonts w:ascii="楷体_GB2312" w:eastAsia="楷体_GB2312" w:hAnsi="宋体" w:cs="宋体" w:hint="eastAsia"/>
          <w:kern w:val="0"/>
          <w:szCs w:val="21"/>
        </w:rPr>
        <w:t>活跃，</w:t>
      </w:r>
      <w:r w:rsidR="005553C5">
        <w:rPr>
          <w:rFonts w:ascii="楷体_GB2312" w:eastAsia="楷体_GB2312" w:hAnsi="宋体" w:cs="宋体" w:hint="eastAsia"/>
          <w:kern w:val="0"/>
          <w:szCs w:val="21"/>
        </w:rPr>
        <w:t>中长期品种收益率曲线出现上升迹象</w:t>
      </w:r>
      <w:r w:rsidR="001417EA" w:rsidRPr="003A2393">
        <w:rPr>
          <w:rFonts w:ascii="楷体_GB2312" w:eastAsia="楷体_GB2312" w:hAnsi="宋体" w:cs="宋体" w:hint="eastAsia"/>
          <w:kern w:val="0"/>
          <w:szCs w:val="21"/>
        </w:rPr>
        <w:t>。</w:t>
      </w:r>
      <w:r w:rsidR="005553C5">
        <w:rPr>
          <w:rFonts w:ascii="楷体_GB2312" w:eastAsia="楷体_GB2312" w:hAnsi="宋体" w:cs="宋体" w:hint="eastAsia"/>
          <w:kern w:val="0"/>
          <w:szCs w:val="21"/>
        </w:rPr>
        <w:t>债市信用利差继续加剧，10年期国债和企业债（AAA）利差从上个月底的</w:t>
      </w:r>
      <w:r w:rsidR="006A783A">
        <w:rPr>
          <w:rFonts w:ascii="楷体_GB2312" w:eastAsia="楷体_GB2312" w:hAnsi="宋体" w:cs="宋体" w:hint="eastAsia"/>
          <w:kern w:val="0"/>
          <w:szCs w:val="21"/>
        </w:rPr>
        <w:lastRenderedPageBreak/>
        <w:t>146.57个BP迅速增至160个BP。</w:t>
      </w:r>
    </w:p>
    <w:tbl>
      <w:tblPr>
        <w:tblW w:w="9356" w:type="dxa"/>
        <w:tblInd w:w="-34" w:type="dxa"/>
        <w:tblLayout w:type="fixed"/>
        <w:tblLook w:val="04A0"/>
      </w:tblPr>
      <w:tblGrid>
        <w:gridCol w:w="4678"/>
        <w:gridCol w:w="142"/>
        <w:gridCol w:w="4536"/>
      </w:tblGrid>
      <w:tr w:rsidR="00D0395D" w:rsidRPr="00051DF8" w:rsidTr="00A422E1">
        <w:tc>
          <w:tcPr>
            <w:tcW w:w="4820" w:type="dxa"/>
            <w:gridSpan w:val="2"/>
            <w:tcBorders>
              <w:bottom w:val="single" w:sz="4" w:space="0" w:color="FF0000"/>
            </w:tcBorders>
          </w:tcPr>
          <w:p w:rsidR="00D0395D" w:rsidRPr="00144B03" w:rsidRDefault="00D0395D" w:rsidP="004254ED">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图5、</w:t>
            </w:r>
            <w:r w:rsidR="004254ED">
              <w:rPr>
                <w:rFonts w:ascii="楷体_GB2312" w:eastAsia="楷体_GB2312" w:hint="eastAsia"/>
                <w:b/>
                <w:color w:val="000000"/>
                <w:sz w:val="18"/>
                <w:szCs w:val="18"/>
              </w:rPr>
              <w:t>国债收益率曲线</w:t>
            </w:r>
            <w:r w:rsidR="00630579">
              <w:rPr>
                <w:rFonts w:ascii="楷体_GB2312" w:eastAsia="楷体_GB2312" w:hint="eastAsia"/>
                <w:b/>
                <w:color w:val="000000"/>
                <w:sz w:val="18"/>
                <w:szCs w:val="18"/>
              </w:rPr>
              <w:t>加剧</w:t>
            </w:r>
            <w:r w:rsidR="004254ED">
              <w:rPr>
                <w:rFonts w:ascii="楷体_GB2312" w:eastAsia="楷体_GB2312" w:hint="eastAsia"/>
                <w:b/>
                <w:color w:val="000000"/>
                <w:sz w:val="18"/>
                <w:szCs w:val="18"/>
              </w:rPr>
              <w:t>陡峭化</w:t>
            </w:r>
          </w:p>
        </w:tc>
        <w:tc>
          <w:tcPr>
            <w:tcW w:w="4536" w:type="dxa"/>
            <w:tcBorders>
              <w:bottom w:val="single" w:sz="4" w:space="0" w:color="FF0000"/>
            </w:tcBorders>
          </w:tcPr>
          <w:p w:rsidR="00D0395D" w:rsidRPr="00144B03" w:rsidRDefault="00D0395D" w:rsidP="004254ED">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图6、</w:t>
            </w:r>
            <w:r w:rsidR="004254ED">
              <w:rPr>
                <w:rFonts w:ascii="楷体_GB2312" w:eastAsia="楷体_GB2312" w:hint="eastAsia"/>
                <w:b/>
                <w:color w:val="000000"/>
                <w:sz w:val="18"/>
                <w:szCs w:val="18"/>
              </w:rPr>
              <w:t>国债和企业债利差</w:t>
            </w:r>
            <w:r w:rsidR="00BF40B4">
              <w:rPr>
                <w:rFonts w:ascii="楷体_GB2312" w:eastAsia="楷体_GB2312" w:hint="eastAsia"/>
                <w:b/>
                <w:color w:val="000000"/>
                <w:sz w:val="18"/>
                <w:szCs w:val="18"/>
              </w:rPr>
              <w:t>保持高位</w:t>
            </w:r>
          </w:p>
        </w:tc>
      </w:tr>
      <w:tr w:rsidR="00D0395D" w:rsidRPr="00B22D95" w:rsidTr="00A422E1">
        <w:tc>
          <w:tcPr>
            <w:tcW w:w="4678" w:type="dxa"/>
            <w:tcBorders>
              <w:top w:val="single" w:sz="4" w:space="0" w:color="FF0000"/>
              <w:bottom w:val="single" w:sz="4" w:space="0" w:color="FF0000"/>
            </w:tcBorders>
          </w:tcPr>
          <w:p w:rsidR="00D0395D" w:rsidRPr="00B22D95" w:rsidRDefault="00630579"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2186305"/>
                  <wp:effectExtent l="19050" t="0" r="762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2830830" cy="2186305"/>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D0395D" w:rsidRPr="00B22D95" w:rsidRDefault="00630579"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3012667" cy="2242268"/>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3015844" cy="2244632"/>
                          </a:xfrm>
                          <a:prstGeom prst="rect">
                            <a:avLst/>
                          </a:prstGeom>
                          <a:noFill/>
                          <a:ln w="9525">
                            <a:noFill/>
                            <a:miter lim="800000"/>
                            <a:headEnd/>
                            <a:tailEnd/>
                          </a:ln>
                        </pic:spPr>
                      </pic:pic>
                    </a:graphicData>
                  </a:graphic>
                </wp:inline>
              </w:drawing>
            </w:r>
          </w:p>
        </w:tc>
      </w:tr>
    </w:tbl>
    <w:p w:rsidR="00D0395D" w:rsidRPr="00156066" w:rsidRDefault="00564B59" w:rsidP="00D0395D">
      <w:pPr>
        <w:rPr>
          <w:rFonts w:ascii="楷体_GB2312" w:eastAsia="楷体_GB2312"/>
          <w:noProof/>
          <w:color w:val="000000"/>
        </w:rPr>
      </w:pPr>
      <w:r>
        <w:rPr>
          <w:rFonts w:ascii="楷体_GB2312" w:eastAsia="楷体_GB2312" w:hint="eastAsia"/>
          <w:noProof/>
          <w:color w:val="000000"/>
        </w:rPr>
        <w:t>来源：</w:t>
      </w:r>
      <w:r w:rsidR="00D0395D" w:rsidRPr="00156066">
        <w:rPr>
          <w:rFonts w:ascii="楷体_GB2312" w:eastAsia="楷体_GB2312" w:hint="eastAsia"/>
          <w:noProof/>
          <w:color w:val="000000"/>
        </w:rPr>
        <w:t>wind</w:t>
      </w:r>
      <w:r w:rsidR="00D0395D">
        <w:rPr>
          <w:rFonts w:ascii="楷体_GB2312" w:eastAsia="楷体_GB2312" w:hint="eastAsia"/>
          <w:noProof/>
          <w:color w:val="000000"/>
        </w:rPr>
        <w:t>，</w:t>
      </w:r>
      <w:r w:rsidR="00D0395D" w:rsidRPr="00156066">
        <w:rPr>
          <w:rFonts w:ascii="楷体_GB2312" w:eastAsia="楷体_GB2312" w:hint="eastAsia"/>
          <w:noProof/>
          <w:color w:val="000000"/>
        </w:rPr>
        <w:t>上海证券基金评价研究中心</w:t>
      </w:r>
    </w:p>
    <w:p w:rsidR="00B32EE1" w:rsidRPr="005E4592" w:rsidRDefault="00217C1F" w:rsidP="00DC2903">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（二）基金市场回顾：债券型基金表现抢眼</w:t>
      </w:r>
    </w:p>
    <w:p w:rsidR="00B902BE" w:rsidRPr="00F15A8A" w:rsidRDefault="00200FA2" w:rsidP="00DC2903">
      <w:pPr>
        <w:spacing w:beforeLines="50"/>
        <w:ind w:leftChars="1350" w:left="2835" w:firstLineChars="202" w:firstLine="424"/>
        <w:rPr>
          <w:rFonts w:ascii="楷体_GB2312" w:eastAsia="楷体_GB2312" w:hAnsi="宋体" w:cs="宋体"/>
          <w:kern w:val="0"/>
          <w:szCs w:val="21"/>
        </w:rPr>
      </w:pPr>
      <w:r w:rsidRPr="00F15A8A">
        <w:rPr>
          <w:rFonts w:ascii="楷体_GB2312" w:eastAsia="楷体_GB2312" w:hAnsi="宋体" w:cs="宋体" w:hint="eastAsia"/>
          <w:kern w:val="0"/>
          <w:szCs w:val="21"/>
        </w:rPr>
        <w:t>受股票市场下跌影响，</w:t>
      </w:r>
      <w:r w:rsidR="00F15A8A" w:rsidRPr="00F15A8A">
        <w:rPr>
          <w:rFonts w:ascii="楷体_GB2312" w:eastAsia="楷体_GB2312" w:hAnsi="宋体" w:cs="宋体" w:hint="eastAsia"/>
          <w:kern w:val="0"/>
          <w:szCs w:val="21"/>
        </w:rPr>
        <w:t>国内各类型</w:t>
      </w:r>
      <w:r w:rsidRPr="00F15A8A">
        <w:rPr>
          <w:rFonts w:ascii="楷体_GB2312" w:eastAsia="楷体_GB2312" w:hAnsi="宋体" w:cs="宋体" w:hint="eastAsia"/>
          <w:kern w:val="0"/>
          <w:szCs w:val="21"/>
        </w:rPr>
        <w:t>基金</w:t>
      </w:r>
      <w:r w:rsidR="00F15A8A" w:rsidRPr="00F15A8A">
        <w:rPr>
          <w:rFonts w:ascii="楷体_GB2312" w:eastAsia="楷体_GB2312" w:hAnsi="宋体" w:cs="宋体" w:hint="eastAsia"/>
          <w:kern w:val="0"/>
          <w:szCs w:val="21"/>
        </w:rPr>
        <w:t>净值</w:t>
      </w:r>
      <w:r w:rsidRPr="00F15A8A">
        <w:rPr>
          <w:rFonts w:ascii="楷体_GB2312" w:eastAsia="楷体_GB2312" w:hAnsi="宋体" w:cs="宋体" w:hint="eastAsia"/>
          <w:kern w:val="0"/>
          <w:szCs w:val="21"/>
        </w:rPr>
        <w:t>纷纷下挫，</w:t>
      </w:r>
      <w:r w:rsidR="00F15A8A" w:rsidRPr="00F15A8A">
        <w:rPr>
          <w:rFonts w:ascii="楷体_GB2312" w:eastAsia="楷体_GB2312" w:hAnsi="宋体" w:cs="宋体" w:hint="eastAsia"/>
          <w:kern w:val="0"/>
          <w:szCs w:val="21"/>
        </w:rPr>
        <w:t>仅货币市场基金实现0.39%的正收益，</w:t>
      </w:r>
      <w:r w:rsidRPr="00F15A8A">
        <w:rPr>
          <w:rFonts w:ascii="楷体_GB2312" w:eastAsia="楷体_GB2312" w:hAnsi="宋体" w:cs="宋体" w:hint="eastAsia"/>
          <w:kern w:val="0"/>
          <w:szCs w:val="21"/>
        </w:rPr>
        <w:t>其中主动偏股新基金</w:t>
      </w:r>
      <w:r w:rsidR="00B902BE" w:rsidRPr="00F15A8A">
        <w:rPr>
          <w:rFonts w:ascii="楷体_GB2312" w:eastAsia="楷体_GB2312" w:hAnsi="宋体" w:cs="宋体" w:hint="eastAsia"/>
          <w:kern w:val="0"/>
          <w:szCs w:val="21"/>
        </w:rPr>
        <w:t>因侧重配置中小盘成长板块而遭遇重挫，平均</w:t>
      </w:r>
      <w:r w:rsidR="00F15A8A" w:rsidRPr="00F15A8A">
        <w:rPr>
          <w:rFonts w:ascii="楷体_GB2312" w:eastAsia="楷体_GB2312" w:hAnsi="宋体" w:cs="宋体" w:hint="eastAsia"/>
          <w:kern w:val="0"/>
          <w:szCs w:val="21"/>
        </w:rPr>
        <w:t>大</w:t>
      </w:r>
      <w:r w:rsidR="00B902BE" w:rsidRPr="00F15A8A">
        <w:rPr>
          <w:rFonts w:ascii="楷体_GB2312" w:eastAsia="楷体_GB2312" w:hAnsi="宋体" w:cs="宋体" w:hint="eastAsia"/>
          <w:kern w:val="0"/>
          <w:szCs w:val="21"/>
        </w:rPr>
        <w:t>跌4.7</w:t>
      </w:r>
      <w:r w:rsidR="007F6739">
        <w:rPr>
          <w:rFonts w:ascii="楷体_GB2312" w:eastAsia="楷体_GB2312" w:hAnsi="宋体" w:cs="宋体" w:hint="eastAsia"/>
          <w:kern w:val="0"/>
          <w:szCs w:val="21"/>
        </w:rPr>
        <w:t>8</w:t>
      </w:r>
      <w:r w:rsidR="00B902BE" w:rsidRPr="00F15A8A">
        <w:rPr>
          <w:rFonts w:ascii="楷体_GB2312" w:eastAsia="楷体_GB2312" w:hAnsi="宋体" w:cs="宋体" w:hint="eastAsia"/>
          <w:kern w:val="0"/>
          <w:szCs w:val="21"/>
        </w:rPr>
        <w:t>%</w:t>
      </w:r>
      <w:r w:rsidR="00911243" w:rsidRPr="00F15A8A">
        <w:rPr>
          <w:rFonts w:ascii="楷体_GB2312" w:eastAsia="楷体_GB2312" w:hAnsi="宋体" w:cs="宋体" w:hint="eastAsia"/>
          <w:kern w:val="0"/>
          <w:szCs w:val="21"/>
        </w:rPr>
        <w:t>。海外局势的不稳使得全球风险偏好回落，QDII微跌0.8</w:t>
      </w:r>
      <w:r w:rsidR="007F6739">
        <w:rPr>
          <w:rFonts w:ascii="楷体_GB2312" w:eastAsia="楷体_GB2312" w:hAnsi="宋体" w:cs="宋体" w:hint="eastAsia"/>
          <w:kern w:val="0"/>
          <w:szCs w:val="21"/>
        </w:rPr>
        <w:t>4</w:t>
      </w:r>
      <w:r w:rsidR="00911243" w:rsidRPr="00F15A8A">
        <w:rPr>
          <w:rFonts w:ascii="楷体_GB2312" w:eastAsia="楷体_GB2312" w:hAnsi="宋体" w:cs="宋体" w:hint="eastAsia"/>
          <w:kern w:val="0"/>
          <w:szCs w:val="21"/>
        </w:rPr>
        <w:t>%，优于同期国内权益基金表现。</w:t>
      </w:r>
    </w:p>
    <w:tbl>
      <w:tblPr>
        <w:tblW w:w="6521" w:type="dxa"/>
        <w:tblInd w:w="2943" w:type="dxa"/>
        <w:tblLayout w:type="fixed"/>
        <w:tblLook w:val="04A0"/>
      </w:tblPr>
      <w:tblGrid>
        <w:gridCol w:w="6521"/>
      </w:tblGrid>
      <w:tr w:rsidR="00D81F4D" w:rsidRPr="00F15A8A" w:rsidTr="00EB544E">
        <w:tc>
          <w:tcPr>
            <w:tcW w:w="6521" w:type="dxa"/>
            <w:tcBorders>
              <w:bottom w:val="single" w:sz="4" w:space="0" w:color="FF0000"/>
            </w:tcBorders>
          </w:tcPr>
          <w:p w:rsidR="00D81F4D" w:rsidRPr="00F15A8A" w:rsidRDefault="00D81F4D" w:rsidP="00BF40B4">
            <w:pPr>
              <w:spacing w:line="360" w:lineRule="auto"/>
              <w:jc w:val="left"/>
              <w:rPr>
                <w:rFonts w:ascii="楷体_GB2312" w:eastAsia="楷体_GB2312"/>
                <w:b/>
                <w:color w:val="000000"/>
                <w:sz w:val="18"/>
                <w:szCs w:val="18"/>
              </w:rPr>
            </w:pPr>
            <w:r w:rsidRPr="00F15A8A">
              <w:rPr>
                <w:rFonts w:ascii="楷体_GB2312" w:eastAsia="楷体_GB2312" w:hint="eastAsia"/>
                <w:b/>
                <w:color w:val="000000"/>
                <w:sz w:val="18"/>
                <w:szCs w:val="18"/>
              </w:rPr>
              <w:t>图</w:t>
            </w:r>
            <w:r w:rsidR="005E24D9" w:rsidRPr="00F15A8A">
              <w:rPr>
                <w:rFonts w:ascii="楷体_GB2312" w:eastAsia="楷体_GB2312" w:hint="eastAsia"/>
                <w:b/>
                <w:color w:val="000000"/>
                <w:sz w:val="18"/>
                <w:szCs w:val="18"/>
              </w:rPr>
              <w:t>7</w:t>
            </w:r>
            <w:r w:rsidRPr="00F15A8A">
              <w:rPr>
                <w:rFonts w:ascii="楷体_GB2312" w:eastAsia="楷体_GB2312" w:hint="eastAsia"/>
                <w:b/>
                <w:color w:val="000000"/>
                <w:sz w:val="18"/>
                <w:szCs w:val="18"/>
              </w:rPr>
              <w:t>、</w:t>
            </w:r>
            <w:r w:rsidR="00BF40B4" w:rsidRPr="00F15A8A">
              <w:rPr>
                <w:rFonts w:ascii="楷体_GB2312" w:eastAsia="楷体_GB2312" w:hint="eastAsia"/>
                <w:b/>
                <w:color w:val="000000"/>
                <w:sz w:val="18"/>
                <w:szCs w:val="18"/>
              </w:rPr>
              <w:t>本月各类型基金平均表现</w:t>
            </w:r>
          </w:p>
        </w:tc>
      </w:tr>
      <w:tr w:rsidR="00D81F4D" w:rsidRPr="00F15A8A" w:rsidTr="007F6739">
        <w:trPr>
          <w:trHeight w:val="3588"/>
        </w:trPr>
        <w:tc>
          <w:tcPr>
            <w:tcW w:w="6521" w:type="dxa"/>
            <w:tcBorders>
              <w:top w:val="single" w:sz="4" w:space="0" w:color="FF0000"/>
              <w:bottom w:val="single" w:sz="4" w:space="0" w:color="FF0000"/>
            </w:tcBorders>
          </w:tcPr>
          <w:p w:rsidR="00D81F4D" w:rsidRPr="00F15A8A" w:rsidRDefault="007F6739" w:rsidP="00A422E1">
            <w:pPr>
              <w:spacing w:line="360" w:lineRule="auto"/>
              <w:jc w:val="center"/>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3752850" cy="2393315"/>
                  <wp:effectExtent l="1905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752850" cy="2393315"/>
                          </a:xfrm>
                          <a:prstGeom prst="rect">
                            <a:avLst/>
                          </a:prstGeom>
                          <a:noFill/>
                          <a:ln w="9525">
                            <a:noFill/>
                            <a:miter lim="800000"/>
                            <a:headEnd/>
                            <a:tailEnd/>
                          </a:ln>
                        </pic:spPr>
                      </pic:pic>
                    </a:graphicData>
                  </a:graphic>
                </wp:inline>
              </w:drawing>
            </w:r>
          </w:p>
        </w:tc>
      </w:tr>
      <w:tr w:rsidR="00D81F4D" w:rsidRPr="005059AD" w:rsidTr="00EB544E">
        <w:tc>
          <w:tcPr>
            <w:tcW w:w="6521" w:type="dxa"/>
            <w:tcBorders>
              <w:top w:val="single" w:sz="4" w:space="0" w:color="FF0000"/>
            </w:tcBorders>
          </w:tcPr>
          <w:p w:rsidR="00D81F4D" w:rsidRPr="005059AD" w:rsidRDefault="00564B59" w:rsidP="00F15A8A">
            <w:pPr>
              <w:spacing w:line="360" w:lineRule="auto"/>
              <w:jc w:val="left"/>
              <w:rPr>
                <w:rFonts w:ascii="楷体_GB2312" w:eastAsia="楷体_GB2312"/>
                <w:i/>
                <w:color w:val="000000"/>
                <w:sz w:val="18"/>
                <w:szCs w:val="18"/>
              </w:rPr>
            </w:pPr>
            <w:r w:rsidRPr="00F15A8A">
              <w:rPr>
                <w:rFonts w:ascii="楷体_GB2312" w:eastAsia="楷体_GB2312" w:hint="eastAsia"/>
                <w:i/>
                <w:color w:val="000000"/>
                <w:sz w:val="18"/>
                <w:szCs w:val="18"/>
              </w:rPr>
              <w:t>来源：</w:t>
            </w:r>
            <w:r w:rsidR="00D81F4D" w:rsidRPr="00F15A8A">
              <w:rPr>
                <w:rFonts w:ascii="楷体_GB2312" w:eastAsia="楷体_GB2312" w:hint="eastAsia"/>
                <w:i/>
                <w:color w:val="000000"/>
                <w:sz w:val="18"/>
                <w:szCs w:val="18"/>
              </w:rPr>
              <w:t>wind 上海证券基金评价研究中心</w:t>
            </w:r>
          </w:p>
        </w:tc>
      </w:tr>
    </w:tbl>
    <w:p w:rsidR="00831030" w:rsidRPr="005E4592" w:rsidRDefault="00217C1F" w:rsidP="00DC2903">
      <w:pPr>
        <w:spacing w:beforeLines="100" w:afterLines="50"/>
        <w:ind w:leftChars="1350" w:left="2835" w:firstLineChars="196" w:firstLine="472"/>
        <w:rPr>
          <w:rFonts w:ascii="黑体" w:eastAsia="黑体" w:hAnsi="宋体-18030" w:cs="宋体-18030"/>
          <w:b/>
          <w:bCs/>
          <w:color w:val="003366"/>
          <w:kern w:val="44"/>
          <w:sz w:val="24"/>
        </w:rPr>
      </w:pPr>
      <w:r w:rsidRPr="005E4592">
        <w:rPr>
          <w:rFonts w:ascii="黑体" w:eastAsia="黑体" w:hAnsi="宋体-18030" w:cs="宋体-18030" w:hint="eastAsia"/>
          <w:b/>
          <w:bCs/>
          <w:color w:val="003366"/>
          <w:kern w:val="44"/>
          <w:sz w:val="24"/>
        </w:rPr>
        <w:t>（三）</w:t>
      </w:r>
      <w:r w:rsidR="00831030" w:rsidRPr="005E4592">
        <w:rPr>
          <w:rFonts w:ascii="黑体" w:eastAsia="黑体" w:hAnsi="宋体-18030" w:cs="宋体-18030" w:hint="eastAsia"/>
          <w:b/>
          <w:bCs/>
          <w:color w:val="003366"/>
          <w:kern w:val="44"/>
          <w:sz w:val="24"/>
        </w:rPr>
        <w:t>影响市场的信息</w:t>
      </w:r>
      <w:r w:rsidR="00873401" w:rsidRPr="005E4592">
        <w:rPr>
          <w:rFonts w:ascii="黑体" w:eastAsia="黑体" w:hAnsi="宋体-18030" w:cs="宋体-18030" w:hint="eastAsia"/>
          <w:b/>
          <w:bCs/>
          <w:color w:val="003366"/>
          <w:kern w:val="44"/>
          <w:sz w:val="24"/>
        </w:rPr>
        <w:t>和数据</w:t>
      </w:r>
    </w:p>
    <w:p w:rsidR="006F303B" w:rsidRPr="00A40CD8" w:rsidRDefault="001909A7" w:rsidP="00DC2903">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3</w:t>
      </w:r>
      <w:r w:rsidR="00FA758A" w:rsidRPr="00A40CD8">
        <w:rPr>
          <w:rFonts w:ascii="楷体_GB2312" w:eastAsia="楷体_GB2312" w:hAnsi="宋体" w:cs="宋体" w:hint="eastAsia"/>
          <w:kern w:val="0"/>
          <w:szCs w:val="21"/>
        </w:rPr>
        <w:t>月份</w:t>
      </w:r>
      <w:r w:rsidR="002751DE">
        <w:rPr>
          <w:rFonts w:ascii="楷体_GB2312" w:eastAsia="楷体_GB2312" w:hAnsi="宋体" w:cs="宋体" w:hint="eastAsia"/>
          <w:kern w:val="0"/>
          <w:szCs w:val="21"/>
        </w:rPr>
        <w:t>欧元区经济维持复苏趋势，但受通缩威胁，欧元区复苏势态出现弱化。</w:t>
      </w:r>
      <w:r w:rsidR="00BF47FC">
        <w:rPr>
          <w:rFonts w:ascii="楷体_GB2312" w:eastAsia="楷体_GB2312" w:hAnsi="宋体" w:cs="宋体" w:hint="eastAsia"/>
          <w:kern w:val="0"/>
          <w:szCs w:val="21"/>
        </w:rPr>
        <w:t>数据显示，2</w:t>
      </w:r>
      <w:r w:rsidR="00BF47FC" w:rsidRPr="00A40CD8">
        <w:rPr>
          <w:rFonts w:ascii="楷体_GB2312" w:eastAsia="楷体_GB2312" w:hAnsi="宋体" w:cs="宋体" w:hint="eastAsia"/>
          <w:kern w:val="0"/>
          <w:szCs w:val="21"/>
        </w:rPr>
        <w:t>月欧元区PPI指标</w:t>
      </w:r>
      <w:r w:rsidR="00BF47FC">
        <w:rPr>
          <w:rFonts w:ascii="楷体_GB2312" w:eastAsia="楷体_GB2312" w:hAnsi="宋体" w:cs="宋体" w:hint="eastAsia"/>
          <w:kern w:val="0"/>
          <w:szCs w:val="21"/>
        </w:rPr>
        <w:t>大幅下跌1</w:t>
      </w:r>
      <w:r w:rsidR="00BF47FC" w:rsidRPr="00A40CD8">
        <w:rPr>
          <w:rFonts w:ascii="楷体_GB2312" w:eastAsia="楷体_GB2312" w:hAnsi="宋体" w:cs="宋体" w:hint="eastAsia"/>
          <w:kern w:val="0"/>
          <w:szCs w:val="21"/>
        </w:rPr>
        <w:t>.</w:t>
      </w:r>
      <w:r w:rsidR="00BF47FC">
        <w:rPr>
          <w:rFonts w:ascii="楷体_GB2312" w:eastAsia="楷体_GB2312" w:hAnsi="宋体" w:cs="宋体" w:hint="eastAsia"/>
          <w:kern w:val="0"/>
          <w:szCs w:val="21"/>
        </w:rPr>
        <w:t>2</w:t>
      </w:r>
      <w:r w:rsidR="00BF47FC" w:rsidRPr="00A40CD8">
        <w:rPr>
          <w:rFonts w:ascii="楷体_GB2312" w:eastAsia="楷体_GB2312" w:hAnsi="宋体" w:cs="宋体" w:hint="eastAsia"/>
          <w:kern w:val="0"/>
          <w:szCs w:val="21"/>
        </w:rPr>
        <w:t>%</w:t>
      </w:r>
      <w:r w:rsidR="00BF47FC">
        <w:rPr>
          <w:rFonts w:ascii="楷体_GB2312" w:eastAsia="楷体_GB2312" w:hAnsi="宋体" w:cs="宋体" w:hint="eastAsia"/>
          <w:kern w:val="0"/>
          <w:szCs w:val="21"/>
        </w:rPr>
        <w:t>，</w:t>
      </w:r>
      <w:r w:rsidR="00BF47FC" w:rsidRPr="00A40CD8">
        <w:rPr>
          <w:rFonts w:ascii="楷体_GB2312" w:eastAsia="楷体_GB2312" w:hAnsi="宋体" w:cs="宋体" w:hint="eastAsia"/>
          <w:kern w:val="0"/>
          <w:szCs w:val="21"/>
        </w:rPr>
        <w:t>低通胀率</w:t>
      </w:r>
      <w:r w:rsidR="00BF47FC">
        <w:rPr>
          <w:rFonts w:ascii="楷体_GB2312" w:eastAsia="楷体_GB2312" w:hAnsi="宋体" w:cs="宋体" w:hint="eastAsia"/>
          <w:kern w:val="0"/>
          <w:szCs w:val="21"/>
        </w:rPr>
        <w:t>持续</w:t>
      </w:r>
      <w:r w:rsidR="00BF47FC" w:rsidRPr="00A40CD8">
        <w:rPr>
          <w:rFonts w:ascii="楷体_GB2312" w:eastAsia="楷体_GB2312" w:hAnsi="宋体" w:cs="宋体" w:hint="eastAsia"/>
          <w:kern w:val="0"/>
          <w:szCs w:val="21"/>
        </w:rPr>
        <w:t>威胁欧元区的经济复苏。</w:t>
      </w:r>
      <w:r w:rsidR="006F303B" w:rsidRPr="00A40CD8">
        <w:rPr>
          <w:rFonts w:ascii="楷体_GB2312" w:eastAsia="楷体_GB2312" w:hAnsi="宋体" w:cs="宋体" w:hint="eastAsia"/>
          <w:kern w:val="0"/>
          <w:szCs w:val="21"/>
        </w:rPr>
        <w:t>欧元区</w:t>
      </w:r>
      <w:r>
        <w:rPr>
          <w:rFonts w:ascii="楷体_GB2312" w:eastAsia="楷体_GB2312" w:hAnsi="宋体" w:cs="宋体" w:hint="eastAsia"/>
          <w:kern w:val="0"/>
          <w:szCs w:val="21"/>
        </w:rPr>
        <w:t>3</w:t>
      </w:r>
      <w:r w:rsidR="006F303B" w:rsidRPr="00A40CD8">
        <w:rPr>
          <w:rFonts w:ascii="楷体_GB2312" w:eastAsia="楷体_GB2312" w:hAnsi="宋体" w:cs="宋体" w:hint="eastAsia"/>
          <w:kern w:val="0"/>
          <w:szCs w:val="21"/>
        </w:rPr>
        <w:t>月</w:t>
      </w:r>
      <w:r w:rsidR="00E06D87">
        <w:rPr>
          <w:rFonts w:ascii="楷体_GB2312" w:eastAsia="楷体_GB2312" w:hAnsi="宋体" w:cs="宋体"/>
          <w:kern w:val="0"/>
          <w:szCs w:val="21"/>
        </w:rPr>
        <w:t>Markit</w:t>
      </w:r>
      <w:r w:rsidR="006F303B" w:rsidRPr="00A40CD8">
        <w:rPr>
          <w:rFonts w:ascii="楷体_GB2312" w:eastAsia="楷体_GB2312" w:hAnsi="宋体" w:cs="宋体" w:hint="eastAsia"/>
          <w:kern w:val="0"/>
          <w:szCs w:val="21"/>
        </w:rPr>
        <w:t>制造业采购经理人指数</w:t>
      </w:r>
      <w:r w:rsidR="006F303B" w:rsidRPr="00A40CD8">
        <w:rPr>
          <w:rFonts w:ascii="楷体_GB2312" w:eastAsia="楷体_GB2312" w:hAnsi="宋体" w:cs="宋体"/>
          <w:kern w:val="0"/>
          <w:szCs w:val="21"/>
        </w:rPr>
        <w:t>(PMI)</w:t>
      </w:r>
      <w:r w:rsidR="006F303B" w:rsidRPr="00A40CD8">
        <w:rPr>
          <w:rFonts w:ascii="楷体_GB2312" w:eastAsia="楷体_GB2312" w:hAnsi="宋体" w:cs="宋体" w:hint="eastAsia"/>
          <w:kern w:val="0"/>
          <w:szCs w:val="21"/>
        </w:rPr>
        <w:t>终值为</w:t>
      </w:r>
      <w:r w:rsidR="006F303B" w:rsidRPr="00A40CD8">
        <w:rPr>
          <w:rFonts w:ascii="楷体_GB2312" w:eastAsia="楷体_GB2312" w:hAnsi="宋体" w:cs="宋体"/>
          <w:kern w:val="0"/>
          <w:szCs w:val="21"/>
        </w:rPr>
        <w:t>5</w:t>
      </w:r>
      <w:r w:rsidR="00AC5474">
        <w:rPr>
          <w:rFonts w:ascii="楷体_GB2312" w:eastAsia="楷体_GB2312" w:hAnsi="宋体" w:cs="宋体" w:hint="eastAsia"/>
          <w:kern w:val="0"/>
          <w:szCs w:val="21"/>
        </w:rPr>
        <w:t>3</w:t>
      </w:r>
      <w:r w:rsidR="006F303B" w:rsidRPr="00A40CD8">
        <w:rPr>
          <w:rFonts w:ascii="楷体_GB2312" w:eastAsia="楷体_GB2312" w:hAnsi="宋体" w:cs="宋体" w:hint="eastAsia"/>
          <w:kern w:val="0"/>
          <w:szCs w:val="21"/>
        </w:rPr>
        <w:t>，</w:t>
      </w:r>
      <w:r w:rsidR="00AC5474">
        <w:rPr>
          <w:rFonts w:ascii="楷体_GB2312" w:eastAsia="楷体_GB2312" w:hAnsi="宋体" w:cs="宋体" w:hint="eastAsia"/>
          <w:kern w:val="0"/>
          <w:szCs w:val="21"/>
        </w:rPr>
        <w:t>延续第</w:t>
      </w:r>
      <w:r>
        <w:rPr>
          <w:rFonts w:ascii="楷体_GB2312" w:eastAsia="楷体_GB2312" w:hAnsi="宋体" w:cs="宋体" w:hint="eastAsia"/>
          <w:kern w:val="0"/>
          <w:szCs w:val="21"/>
        </w:rPr>
        <w:t>三</w:t>
      </w:r>
      <w:r w:rsidR="00AC5474">
        <w:rPr>
          <w:rFonts w:ascii="楷体_GB2312" w:eastAsia="楷体_GB2312" w:hAnsi="宋体" w:cs="宋体" w:hint="eastAsia"/>
          <w:kern w:val="0"/>
          <w:szCs w:val="21"/>
        </w:rPr>
        <w:t>个月出现下滑，但仍然处于</w:t>
      </w:r>
      <w:r w:rsidR="00E06D87">
        <w:rPr>
          <w:rFonts w:ascii="楷体_GB2312" w:eastAsia="楷体_GB2312" w:hAnsi="宋体" w:cs="宋体"/>
          <w:kern w:val="0"/>
          <w:szCs w:val="21"/>
        </w:rPr>
        <w:t>2011</w:t>
      </w:r>
      <w:r w:rsidR="008E2D21" w:rsidRPr="00A40CD8">
        <w:rPr>
          <w:rFonts w:ascii="楷体_GB2312" w:eastAsia="楷体_GB2312" w:hAnsi="宋体" w:cs="宋体" w:hint="eastAsia"/>
          <w:kern w:val="0"/>
          <w:szCs w:val="21"/>
        </w:rPr>
        <w:t>年</w:t>
      </w:r>
      <w:r w:rsidR="00E06D87">
        <w:rPr>
          <w:rFonts w:ascii="楷体_GB2312" w:eastAsia="楷体_GB2312" w:hAnsi="宋体" w:cs="宋体"/>
          <w:kern w:val="0"/>
          <w:szCs w:val="21"/>
        </w:rPr>
        <w:t>5</w:t>
      </w:r>
      <w:r w:rsidR="008E2D21" w:rsidRPr="00A40CD8">
        <w:rPr>
          <w:rFonts w:ascii="楷体_GB2312" w:eastAsia="楷体_GB2312" w:hAnsi="宋体" w:cs="宋体" w:hint="eastAsia"/>
          <w:kern w:val="0"/>
          <w:szCs w:val="21"/>
        </w:rPr>
        <w:t>月以来</w:t>
      </w:r>
      <w:r w:rsidR="008E2D21" w:rsidRPr="00A40CD8">
        <w:rPr>
          <w:rFonts w:ascii="楷体_GB2312" w:eastAsia="楷体_GB2312" w:hAnsi="宋体" w:cs="宋体" w:hint="eastAsia"/>
          <w:kern w:val="0"/>
          <w:szCs w:val="21"/>
        </w:rPr>
        <w:lastRenderedPageBreak/>
        <w:t>的高位水平</w:t>
      </w:r>
      <w:r w:rsidR="006F303B" w:rsidRPr="00A40CD8">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A67714" w:rsidRPr="00051DF8" w:rsidTr="00A422E1">
        <w:tc>
          <w:tcPr>
            <w:tcW w:w="4820" w:type="dxa"/>
            <w:gridSpan w:val="2"/>
            <w:tcBorders>
              <w:bottom w:val="single" w:sz="4" w:space="0" w:color="FF0000"/>
            </w:tcBorders>
          </w:tcPr>
          <w:p w:rsidR="00A67714" w:rsidRPr="00144B03" w:rsidRDefault="00A67714" w:rsidP="00BF47FC">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8</w:t>
            </w:r>
            <w:r w:rsidRPr="00144B03">
              <w:rPr>
                <w:rFonts w:ascii="楷体_GB2312" w:eastAsia="楷体_GB2312" w:hint="eastAsia"/>
                <w:b/>
                <w:color w:val="000000"/>
                <w:sz w:val="18"/>
                <w:szCs w:val="18"/>
              </w:rPr>
              <w:t>、</w:t>
            </w:r>
            <w:r w:rsidR="00BF47FC" w:rsidRPr="00144B03">
              <w:rPr>
                <w:rFonts w:ascii="楷体_GB2312" w:eastAsia="楷体_GB2312" w:hint="eastAsia"/>
                <w:b/>
                <w:color w:val="000000"/>
                <w:sz w:val="18"/>
                <w:szCs w:val="18"/>
              </w:rPr>
              <w:t>图</w:t>
            </w:r>
            <w:r w:rsidR="00BF47FC">
              <w:rPr>
                <w:rFonts w:ascii="楷体_GB2312" w:eastAsia="楷体_GB2312" w:hint="eastAsia"/>
                <w:b/>
                <w:color w:val="000000"/>
                <w:sz w:val="18"/>
                <w:szCs w:val="18"/>
              </w:rPr>
              <w:t>9</w:t>
            </w:r>
            <w:r w:rsidR="00BF47FC" w:rsidRPr="00144B03">
              <w:rPr>
                <w:rFonts w:ascii="楷体_GB2312" w:eastAsia="楷体_GB2312" w:hint="eastAsia"/>
                <w:b/>
                <w:color w:val="000000"/>
                <w:sz w:val="18"/>
                <w:szCs w:val="18"/>
              </w:rPr>
              <w:t>、</w:t>
            </w:r>
            <w:r w:rsidR="00BF47FC">
              <w:rPr>
                <w:rFonts w:ascii="楷体_GB2312" w:eastAsia="楷体_GB2312" w:hint="eastAsia"/>
                <w:b/>
                <w:color w:val="000000"/>
                <w:sz w:val="18"/>
                <w:szCs w:val="18"/>
              </w:rPr>
              <w:t>欧盟：欧盟：工业生产指数：同比（%）</w:t>
            </w:r>
          </w:p>
        </w:tc>
        <w:tc>
          <w:tcPr>
            <w:tcW w:w="4536" w:type="dxa"/>
            <w:tcBorders>
              <w:bottom w:val="single" w:sz="4" w:space="0" w:color="FF0000"/>
            </w:tcBorders>
          </w:tcPr>
          <w:p w:rsidR="00A67714" w:rsidRPr="00144B03" w:rsidRDefault="00BF47FC" w:rsidP="0066355F">
            <w:pPr>
              <w:spacing w:line="360" w:lineRule="auto"/>
              <w:ind w:left="4017" w:hangingChars="2223" w:hanging="4017"/>
              <w:jc w:val="left"/>
              <w:rPr>
                <w:rFonts w:ascii="楷体_GB2312" w:eastAsia="楷体_GB2312"/>
                <w:b/>
                <w:color w:val="000000"/>
                <w:sz w:val="18"/>
                <w:szCs w:val="18"/>
              </w:rPr>
            </w:pPr>
            <w:r>
              <w:rPr>
                <w:rFonts w:ascii="楷体_GB2312" w:eastAsia="楷体_GB2312" w:hint="eastAsia"/>
                <w:b/>
                <w:color w:val="000000"/>
                <w:sz w:val="18"/>
                <w:szCs w:val="18"/>
              </w:rPr>
              <w:t>欧盟：欧元区：制造业PMI</w:t>
            </w:r>
          </w:p>
        </w:tc>
      </w:tr>
      <w:tr w:rsidR="00A67714" w:rsidRPr="00B22D95" w:rsidTr="00A422E1">
        <w:tc>
          <w:tcPr>
            <w:tcW w:w="4678" w:type="dxa"/>
            <w:tcBorders>
              <w:top w:val="single" w:sz="4" w:space="0" w:color="FF0000"/>
              <w:bottom w:val="single" w:sz="4" w:space="0" w:color="FF0000"/>
            </w:tcBorders>
          </w:tcPr>
          <w:p w:rsidR="00A67714" w:rsidRPr="00B22D95" w:rsidRDefault="00BF47FC" w:rsidP="00A422E1">
            <w:pPr>
              <w:spacing w:line="360" w:lineRule="auto"/>
              <w:ind w:leftChars="16" w:left="34"/>
              <w:rPr>
                <w:rFonts w:ascii="楷体_GB2312" w:eastAsia="楷体_GB2312"/>
                <w:color w:val="000000"/>
                <w:sz w:val="18"/>
                <w:szCs w:val="18"/>
              </w:rPr>
            </w:pPr>
            <w:r w:rsidRPr="00BF47FC">
              <w:rPr>
                <w:rFonts w:ascii="楷体_GB2312" w:eastAsia="楷体_GB2312"/>
                <w:noProof/>
                <w:color w:val="000000"/>
                <w:sz w:val="18"/>
                <w:szCs w:val="18"/>
              </w:rPr>
              <w:drawing>
                <wp:inline distT="0" distB="0" distL="0" distR="0">
                  <wp:extent cx="2892456" cy="1439186"/>
                  <wp:effectExtent l="19050" t="0" r="3144" b="0"/>
                  <wp:docPr id="20"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894112" cy="1440010"/>
                          </a:xfrm>
                          <a:prstGeom prst="rect">
                            <a:avLst/>
                          </a:prstGeom>
                        </pic:spPr>
                      </pic:pic>
                    </a:graphicData>
                  </a:graphic>
                </wp:inline>
              </w:drawing>
            </w:r>
          </w:p>
        </w:tc>
        <w:tc>
          <w:tcPr>
            <w:tcW w:w="4678" w:type="dxa"/>
            <w:gridSpan w:val="2"/>
            <w:tcBorders>
              <w:top w:val="single" w:sz="4" w:space="0" w:color="FF0000"/>
              <w:bottom w:val="single" w:sz="4" w:space="0" w:color="FF0000"/>
            </w:tcBorders>
          </w:tcPr>
          <w:p w:rsidR="00A67714" w:rsidRPr="00B22D95" w:rsidRDefault="00BF47FC" w:rsidP="00BF47FC">
            <w:pPr>
              <w:spacing w:line="360" w:lineRule="auto"/>
              <w:ind w:left="1" w:firstLineChars="18" w:firstLine="32"/>
              <w:jc w:val="right"/>
              <w:rPr>
                <w:rFonts w:ascii="楷体_GB2312" w:eastAsia="楷体_GB2312"/>
                <w:color w:val="000000"/>
                <w:sz w:val="18"/>
                <w:szCs w:val="18"/>
              </w:rPr>
            </w:pPr>
            <w:r w:rsidRPr="00BF47FC">
              <w:rPr>
                <w:rFonts w:ascii="楷体_GB2312" w:eastAsia="楷体_GB2312"/>
                <w:noProof/>
                <w:color w:val="000000"/>
                <w:sz w:val="18"/>
                <w:szCs w:val="18"/>
              </w:rPr>
              <w:drawing>
                <wp:inline distT="0" distB="0" distL="0" distR="0">
                  <wp:extent cx="2922933" cy="1431235"/>
                  <wp:effectExtent l="19050" t="0" r="0" b="0"/>
                  <wp:docPr id="22"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924611" cy="1432056"/>
                          </a:xfrm>
                          <a:prstGeom prst="rect">
                            <a:avLst/>
                          </a:prstGeom>
                        </pic:spPr>
                      </pic:pic>
                    </a:graphicData>
                  </a:graphic>
                </wp:inline>
              </w:drawing>
            </w:r>
          </w:p>
        </w:tc>
      </w:tr>
    </w:tbl>
    <w:p w:rsidR="00A67714" w:rsidRPr="00156066" w:rsidRDefault="00A67714" w:rsidP="00A67714">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A40CD8" w:rsidRPr="00C251C0" w:rsidRDefault="003D118B" w:rsidP="00DC2903">
      <w:pPr>
        <w:spacing w:beforeLines="50"/>
        <w:ind w:leftChars="1350" w:left="2835" w:firstLineChars="202" w:firstLine="424"/>
        <w:rPr>
          <w:rFonts w:ascii="楷体_GB2312" w:eastAsia="楷体_GB2312" w:hAnsi="宋体" w:cs="宋体"/>
          <w:kern w:val="0"/>
          <w:szCs w:val="21"/>
        </w:rPr>
      </w:pPr>
      <w:r w:rsidRPr="00C251C0">
        <w:rPr>
          <w:rFonts w:ascii="楷体_GB2312" w:eastAsia="楷体_GB2312" w:hAnsi="宋体" w:cs="宋体"/>
          <w:kern w:val="0"/>
          <w:szCs w:val="21"/>
        </w:rPr>
        <w:t>美国制造业扩张速度在</w:t>
      </w:r>
      <w:r w:rsidR="007362F7">
        <w:rPr>
          <w:rFonts w:ascii="楷体_GB2312" w:eastAsia="楷体_GB2312" w:hAnsi="宋体" w:cs="宋体" w:hint="eastAsia"/>
          <w:kern w:val="0"/>
          <w:szCs w:val="21"/>
        </w:rPr>
        <w:t>3</w:t>
      </w:r>
      <w:r w:rsidRPr="00C251C0">
        <w:rPr>
          <w:rFonts w:ascii="楷体_GB2312" w:eastAsia="楷体_GB2312" w:hAnsi="宋体" w:cs="宋体"/>
          <w:kern w:val="0"/>
          <w:szCs w:val="21"/>
        </w:rPr>
        <w:t>月回升至53.2，升幅好于市场预期，脱离</w:t>
      </w:r>
      <w:r w:rsidR="007362F7">
        <w:rPr>
          <w:rFonts w:ascii="楷体_GB2312" w:eastAsia="楷体_GB2312" w:hAnsi="宋体" w:cs="宋体" w:hint="eastAsia"/>
          <w:kern w:val="0"/>
          <w:szCs w:val="21"/>
        </w:rPr>
        <w:t>2</w:t>
      </w:r>
      <w:r w:rsidRPr="00C251C0">
        <w:rPr>
          <w:rFonts w:ascii="楷体_GB2312" w:eastAsia="楷体_GB2312" w:hAnsi="宋体" w:cs="宋体"/>
          <w:kern w:val="0"/>
          <w:szCs w:val="21"/>
        </w:rPr>
        <w:t>月份所创2013年5月份以来最低水平。</w:t>
      </w:r>
      <w:r w:rsidR="00C251C0" w:rsidRPr="00C251C0">
        <w:rPr>
          <w:rFonts w:ascii="楷体_GB2312" w:eastAsia="楷体_GB2312" w:hAnsi="宋体" w:cs="宋体" w:hint="eastAsia"/>
          <w:kern w:val="0"/>
          <w:szCs w:val="21"/>
        </w:rPr>
        <w:t>建造支出数据也显示美国房地产市场仍然处于持续向好。</w:t>
      </w:r>
    </w:p>
    <w:tbl>
      <w:tblPr>
        <w:tblW w:w="9356" w:type="dxa"/>
        <w:tblInd w:w="-34" w:type="dxa"/>
        <w:tblLayout w:type="fixed"/>
        <w:tblLook w:val="04A0"/>
      </w:tblPr>
      <w:tblGrid>
        <w:gridCol w:w="4678"/>
        <w:gridCol w:w="142"/>
        <w:gridCol w:w="4536"/>
      </w:tblGrid>
      <w:tr w:rsidR="00601217" w:rsidRPr="00051DF8" w:rsidTr="00A422E1">
        <w:tc>
          <w:tcPr>
            <w:tcW w:w="4820" w:type="dxa"/>
            <w:gridSpan w:val="2"/>
            <w:tcBorders>
              <w:bottom w:val="single" w:sz="4" w:space="0" w:color="FF0000"/>
            </w:tcBorders>
          </w:tcPr>
          <w:p w:rsidR="00601217" w:rsidRPr="00144B03" w:rsidRDefault="00601217" w:rsidP="005E24D9">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10</w:t>
            </w:r>
            <w:r w:rsidRPr="00144B03">
              <w:rPr>
                <w:rFonts w:ascii="楷体_GB2312" w:eastAsia="楷体_GB2312" w:hint="eastAsia"/>
                <w:b/>
                <w:color w:val="000000"/>
                <w:sz w:val="18"/>
                <w:szCs w:val="18"/>
              </w:rPr>
              <w:t>、</w:t>
            </w:r>
            <w:r>
              <w:rPr>
                <w:rFonts w:ascii="楷体_GB2312" w:eastAsia="楷体_GB2312" w:hint="eastAsia"/>
                <w:b/>
                <w:color w:val="000000"/>
                <w:sz w:val="18"/>
                <w:szCs w:val="18"/>
              </w:rPr>
              <w:t>美国：制造业PMI</w:t>
            </w:r>
          </w:p>
        </w:tc>
        <w:tc>
          <w:tcPr>
            <w:tcW w:w="4536" w:type="dxa"/>
            <w:tcBorders>
              <w:bottom w:val="single" w:sz="4" w:space="0" w:color="FF0000"/>
            </w:tcBorders>
          </w:tcPr>
          <w:p w:rsidR="00601217" w:rsidRPr="00144B03" w:rsidRDefault="00601217" w:rsidP="005E24D9">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sidR="005E24D9">
              <w:rPr>
                <w:rFonts w:ascii="楷体_GB2312" w:eastAsia="楷体_GB2312" w:hint="eastAsia"/>
                <w:b/>
                <w:color w:val="000000"/>
                <w:sz w:val="18"/>
                <w:szCs w:val="18"/>
              </w:rPr>
              <w:t>11</w:t>
            </w:r>
            <w:r w:rsidRPr="00144B03">
              <w:rPr>
                <w:rFonts w:ascii="楷体_GB2312" w:eastAsia="楷体_GB2312" w:hint="eastAsia"/>
                <w:b/>
                <w:color w:val="000000"/>
                <w:sz w:val="18"/>
                <w:szCs w:val="18"/>
              </w:rPr>
              <w:t>、</w:t>
            </w:r>
            <w:r w:rsidR="00A650F8">
              <w:rPr>
                <w:rFonts w:ascii="楷体_GB2312" w:eastAsia="楷体_GB2312" w:hint="eastAsia"/>
                <w:b/>
                <w:color w:val="000000"/>
                <w:sz w:val="18"/>
                <w:szCs w:val="18"/>
              </w:rPr>
              <w:t>美国：建造支出（百万美元）</w:t>
            </w:r>
          </w:p>
        </w:tc>
      </w:tr>
      <w:tr w:rsidR="00601217" w:rsidRPr="00B22D95" w:rsidTr="00A422E1">
        <w:tc>
          <w:tcPr>
            <w:tcW w:w="4678" w:type="dxa"/>
            <w:tcBorders>
              <w:top w:val="single" w:sz="4" w:space="0" w:color="FF0000"/>
              <w:bottom w:val="single" w:sz="4" w:space="0" w:color="FF0000"/>
            </w:tcBorders>
          </w:tcPr>
          <w:p w:rsidR="00601217" w:rsidRPr="00B22D95" w:rsidRDefault="00601217" w:rsidP="00A422E1">
            <w:pPr>
              <w:spacing w:line="360" w:lineRule="auto"/>
              <w:ind w:leftChars="16" w:left="34"/>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5944" cy="1498806"/>
                  <wp:effectExtent l="1905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cstate="print"/>
                          <a:srcRect/>
                          <a:stretch>
                            <a:fillRect/>
                          </a:stretch>
                        </pic:blipFill>
                        <pic:spPr bwMode="auto">
                          <a:xfrm>
                            <a:off x="0" y="0"/>
                            <a:ext cx="2828925" cy="1500387"/>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601217" w:rsidRPr="00B22D95" w:rsidRDefault="00A650F8"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5943" cy="1478720"/>
                  <wp:effectExtent l="1905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cstate="print"/>
                          <a:srcRect/>
                          <a:stretch>
                            <a:fillRect/>
                          </a:stretch>
                        </pic:blipFill>
                        <pic:spPr bwMode="auto">
                          <a:xfrm>
                            <a:off x="0" y="0"/>
                            <a:ext cx="2829351" cy="1480503"/>
                          </a:xfrm>
                          <a:prstGeom prst="rect">
                            <a:avLst/>
                          </a:prstGeom>
                          <a:noFill/>
                          <a:ln w="9525">
                            <a:noFill/>
                            <a:miter lim="800000"/>
                            <a:headEnd/>
                            <a:tailEnd/>
                          </a:ln>
                        </pic:spPr>
                      </pic:pic>
                    </a:graphicData>
                  </a:graphic>
                </wp:inline>
              </w:drawing>
            </w:r>
          </w:p>
        </w:tc>
      </w:tr>
    </w:tbl>
    <w:p w:rsidR="00601217" w:rsidRPr="00156066" w:rsidRDefault="00601217" w:rsidP="00601217">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0B3575" w:rsidRPr="00C251C0" w:rsidRDefault="000B3575" w:rsidP="00DC2903">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中国经济</w:t>
      </w:r>
      <w:r w:rsidR="000157C0">
        <w:rPr>
          <w:rFonts w:ascii="楷体_GB2312" w:eastAsia="楷体_GB2312" w:hAnsi="宋体" w:cs="宋体" w:hint="eastAsia"/>
          <w:kern w:val="0"/>
          <w:szCs w:val="21"/>
        </w:rPr>
        <w:t>加速下滑，</w:t>
      </w:r>
      <w:r w:rsidR="00461CEA">
        <w:rPr>
          <w:rFonts w:ascii="楷体_GB2312" w:eastAsia="楷体_GB2312" w:hAnsi="宋体" w:cs="宋体" w:hint="eastAsia"/>
          <w:kern w:val="0"/>
          <w:szCs w:val="21"/>
        </w:rPr>
        <w:t>汇丰</w:t>
      </w:r>
      <w:r w:rsidR="00BF7FF4">
        <w:rPr>
          <w:rFonts w:ascii="楷体_GB2312" w:eastAsia="楷体_GB2312" w:hAnsi="宋体" w:cs="宋体" w:hint="eastAsia"/>
          <w:kern w:val="0"/>
          <w:szCs w:val="21"/>
        </w:rPr>
        <w:t>PMI</w:t>
      </w:r>
      <w:r w:rsidR="00BF7FF4" w:rsidRPr="000157C0">
        <w:rPr>
          <w:rFonts w:ascii="楷体_GB2312" w:eastAsia="楷体_GB2312" w:hAnsi="宋体" w:cs="宋体" w:hint="eastAsia"/>
          <w:kern w:val="0"/>
          <w:szCs w:val="21"/>
        </w:rPr>
        <w:t>（</w:t>
      </w:r>
      <w:r w:rsidR="00461CEA">
        <w:rPr>
          <w:rFonts w:ascii="楷体_GB2312" w:eastAsia="楷体_GB2312" w:hAnsi="宋体" w:cs="宋体" w:hint="eastAsia"/>
          <w:kern w:val="0"/>
          <w:szCs w:val="21"/>
        </w:rPr>
        <w:t>制造业</w:t>
      </w:r>
      <w:r w:rsidR="00BF7FF4" w:rsidRPr="000157C0">
        <w:rPr>
          <w:rFonts w:ascii="楷体_GB2312" w:eastAsia="楷体_GB2312" w:hAnsi="宋体" w:cs="宋体" w:hint="eastAsia"/>
          <w:kern w:val="0"/>
          <w:szCs w:val="21"/>
        </w:rPr>
        <w:t>采购经理人指数</w:t>
      </w:r>
      <w:r w:rsidR="00BF7FF4">
        <w:rPr>
          <w:rFonts w:ascii="楷体_GB2312" w:eastAsia="楷体_GB2312" w:hAnsi="宋体" w:cs="宋体" w:hint="eastAsia"/>
          <w:kern w:val="0"/>
          <w:szCs w:val="21"/>
        </w:rPr>
        <w:t>）</w:t>
      </w:r>
      <w:r w:rsidR="00C80683">
        <w:rPr>
          <w:rFonts w:ascii="楷体_GB2312" w:eastAsia="楷体_GB2312" w:hAnsi="宋体" w:cs="宋体" w:hint="eastAsia"/>
          <w:kern w:val="0"/>
          <w:szCs w:val="21"/>
        </w:rPr>
        <w:t>跌至8个月来的最低水平，</w:t>
      </w:r>
      <w:r w:rsidR="00461CEA" w:rsidRPr="009965A1">
        <w:rPr>
          <w:rFonts w:ascii="楷体_GB2312" w:eastAsia="楷体_GB2312" w:hAnsi="宋体" w:cs="宋体" w:hint="eastAsia"/>
          <w:kern w:val="0"/>
          <w:szCs w:val="21"/>
        </w:rPr>
        <w:t>国家统计局PMI</w:t>
      </w:r>
      <w:r w:rsidR="00A03CE3">
        <w:rPr>
          <w:rFonts w:ascii="楷体_GB2312" w:eastAsia="楷体_GB2312" w:hAnsi="宋体" w:cs="宋体" w:hint="eastAsia"/>
          <w:kern w:val="0"/>
          <w:szCs w:val="21"/>
        </w:rPr>
        <w:t>在季节性因素下出现小幅反弹，</w:t>
      </w:r>
      <w:r w:rsidR="009965A1" w:rsidRPr="009965A1">
        <w:rPr>
          <w:rFonts w:ascii="楷体_GB2312" w:eastAsia="楷体_GB2312" w:hAnsi="宋体" w:cs="宋体" w:hint="eastAsia"/>
          <w:kern w:val="0"/>
          <w:szCs w:val="21"/>
        </w:rPr>
        <w:t>略升至50.3，显示出制造业扩张较为疲软</w:t>
      </w:r>
      <w:r w:rsidR="006F6944" w:rsidRPr="009965A1">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6773F6" w:rsidRPr="00051DF8" w:rsidTr="00722604">
        <w:tc>
          <w:tcPr>
            <w:tcW w:w="4820" w:type="dxa"/>
            <w:gridSpan w:val="2"/>
            <w:tcBorders>
              <w:bottom w:val="single" w:sz="4" w:space="0" w:color="FF0000"/>
            </w:tcBorders>
          </w:tcPr>
          <w:p w:rsidR="006773F6" w:rsidRPr="00144B03" w:rsidRDefault="006773F6" w:rsidP="00D91DEA">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Pr>
                <w:rFonts w:ascii="楷体_GB2312" w:eastAsia="楷体_GB2312" w:hint="eastAsia"/>
                <w:b/>
                <w:color w:val="000000"/>
                <w:sz w:val="18"/>
                <w:szCs w:val="18"/>
              </w:rPr>
              <w:t>1</w:t>
            </w:r>
            <w:r w:rsidR="00D91DEA">
              <w:rPr>
                <w:rFonts w:ascii="楷体_GB2312" w:eastAsia="楷体_GB2312" w:hint="eastAsia"/>
                <w:b/>
                <w:color w:val="000000"/>
                <w:sz w:val="18"/>
                <w:szCs w:val="18"/>
              </w:rPr>
              <w:t>2</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中国：汇丰PMI</w:t>
            </w:r>
          </w:p>
        </w:tc>
        <w:tc>
          <w:tcPr>
            <w:tcW w:w="4536" w:type="dxa"/>
            <w:tcBorders>
              <w:bottom w:val="single" w:sz="4" w:space="0" w:color="FF0000"/>
            </w:tcBorders>
          </w:tcPr>
          <w:p w:rsidR="006773F6" w:rsidRPr="00144B03" w:rsidRDefault="006773F6" w:rsidP="00D91DEA">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Pr>
                <w:rFonts w:ascii="楷体_GB2312" w:eastAsia="楷体_GB2312" w:hint="eastAsia"/>
                <w:b/>
                <w:color w:val="000000"/>
                <w:sz w:val="18"/>
                <w:szCs w:val="18"/>
              </w:rPr>
              <w:t>1</w:t>
            </w:r>
            <w:r w:rsidR="00D91DEA">
              <w:rPr>
                <w:rFonts w:ascii="楷体_GB2312" w:eastAsia="楷体_GB2312" w:hint="eastAsia"/>
                <w:b/>
                <w:color w:val="000000"/>
                <w:sz w:val="18"/>
                <w:szCs w:val="18"/>
              </w:rPr>
              <w:t>3</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中国：统计局PMI</w:t>
            </w:r>
          </w:p>
        </w:tc>
      </w:tr>
      <w:tr w:rsidR="006773F6" w:rsidRPr="00B22D95" w:rsidTr="00722604">
        <w:tc>
          <w:tcPr>
            <w:tcW w:w="4678" w:type="dxa"/>
            <w:tcBorders>
              <w:top w:val="single" w:sz="4" w:space="0" w:color="FF0000"/>
              <w:bottom w:val="single" w:sz="4" w:space="0" w:color="FF0000"/>
            </w:tcBorders>
          </w:tcPr>
          <w:p w:rsidR="006773F6" w:rsidRPr="00B22D95" w:rsidRDefault="006773F6" w:rsidP="00722604">
            <w:pPr>
              <w:spacing w:line="360" w:lineRule="auto"/>
              <w:ind w:leftChars="16" w:left="34"/>
              <w:rPr>
                <w:rFonts w:ascii="楷体_GB2312" w:eastAsia="楷体_GB2312"/>
                <w:color w:val="000000"/>
                <w:sz w:val="18"/>
                <w:szCs w:val="18"/>
              </w:rPr>
            </w:pPr>
            <w:r>
              <w:rPr>
                <w:noProof/>
              </w:rPr>
              <w:drawing>
                <wp:inline distT="0" distB="0" distL="0" distR="0">
                  <wp:extent cx="2867274" cy="1463040"/>
                  <wp:effectExtent l="19050" t="0" r="9276" b="0"/>
                  <wp:docPr id="16"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869560" cy="1464206"/>
                          </a:xfrm>
                          <a:prstGeom prst="rect">
                            <a:avLst/>
                          </a:prstGeom>
                        </pic:spPr>
                      </pic:pic>
                    </a:graphicData>
                  </a:graphic>
                </wp:inline>
              </w:drawing>
            </w:r>
          </w:p>
        </w:tc>
        <w:tc>
          <w:tcPr>
            <w:tcW w:w="4678" w:type="dxa"/>
            <w:gridSpan w:val="2"/>
            <w:tcBorders>
              <w:top w:val="single" w:sz="4" w:space="0" w:color="FF0000"/>
              <w:bottom w:val="single" w:sz="4" w:space="0" w:color="FF0000"/>
            </w:tcBorders>
          </w:tcPr>
          <w:p w:rsidR="006773F6" w:rsidRPr="00B22D95" w:rsidRDefault="009965A1" w:rsidP="00722604">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27848" cy="1502796"/>
                  <wp:effectExtent l="1905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6" cstate="print"/>
                          <a:srcRect/>
                          <a:stretch>
                            <a:fillRect/>
                          </a:stretch>
                        </pic:blipFill>
                        <pic:spPr bwMode="auto">
                          <a:xfrm>
                            <a:off x="0" y="0"/>
                            <a:ext cx="2830830" cy="1504381"/>
                          </a:xfrm>
                          <a:prstGeom prst="rect">
                            <a:avLst/>
                          </a:prstGeom>
                          <a:noFill/>
                          <a:ln w="9525">
                            <a:noFill/>
                            <a:miter lim="800000"/>
                            <a:headEnd/>
                            <a:tailEnd/>
                          </a:ln>
                        </pic:spPr>
                      </pic:pic>
                    </a:graphicData>
                  </a:graphic>
                </wp:inline>
              </w:drawing>
            </w:r>
          </w:p>
        </w:tc>
      </w:tr>
    </w:tbl>
    <w:p w:rsidR="006773F6" w:rsidRDefault="006773F6" w:rsidP="006773F6">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BF7FF4" w:rsidRPr="00C251C0" w:rsidRDefault="00330937" w:rsidP="00DC2903">
      <w:pPr>
        <w:spacing w:beforeLines="50"/>
        <w:ind w:leftChars="1350" w:left="2835" w:firstLineChars="202" w:firstLine="424"/>
        <w:rPr>
          <w:rFonts w:ascii="楷体_GB2312" w:eastAsia="楷体_GB2312" w:hAnsi="宋体" w:cs="宋体"/>
          <w:kern w:val="0"/>
          <w:szCs w:val="21"/>
        </w:rPr>
      </w:pPr>
      <w:r>
        <w:rPr>
          <w:rFonts w:ascii="楷体_GB2312" w:eastAsia="楷体_GB2312" w:hAnsi="宋体" w:cs="宋体" w:hint="eastAsia"/>
          <w:kern w:val="0"/>
          <w:szCs w:val="21"/>
        </w:rPr>
        <w:t>2月</w:t>
      </w:r>
      <w:r w:rsidR="00BF7FF4">
        <w:rPr>
          <w:rFonts w:ascii="楷体_GB2312" w:eastAsia="楷体_GB2312" w:hAnsi="宋体" w:cs="宋体" w:hint="eastAsia"/>
          <w:kern w:val="0"/>
          <w:szCs w:val="21"/>
        </w:rPr>
        <w:t>中国出口</w:t>
      </w:r>
      <w:r>
        <w:rPr>
          <w:rFonts w:ascii="楷体_GB2312" w:eastAsia="楷体_GB2312" w:hAnsi="宋体" w:cs="宋体" w:hint="eastAsia"/>
          <w:kern w:val="0"/>
          <w:szCs w:val="21"/>
        </w:rPr>
        <w:t>出现大幅波动，</w:t>
      </w:r>
      <w:r w:rsidRPr="001E2D14">
        <w:rPr>
          <w:rFonts w:ascii="楷体_GB2312" w:eastAsia="楷体_GB2312" w:hAnsi="宋体" w:cs="宋体" w:hint="eastAsia"/>
          <w:kern w:val="0"/>
          <w:szCs w:val="21"/>
        </w:rPr>
        <w:t>当月</w:t>
      </w:r>
      <w:r w:rsidR="0041405D">
        <w:rPr>
          <w:rFonts w:ascii="楷体_GB2312" w:eastAsia="楷体_GB2312" w:hAnsi="宋体" w:cs="宋体" w:hint="eastAsia"/>
          <w:kern w:val="0"/>
          <w:szCs w:val="21"/>
        </w:rPr>
        <w:t>贸易逆差</w:t>
      </w:r>
      <w:r w:rsidR="0041405D">
        <w:rPr>
          <w:rFonts w:ascii="Helvetica" w:hAnsi="Helvetica" w:cs="Arial"/>
          <w:color w:val="333333"/>
          <w:sz w:val="16"/>
          <w:szCs w:val="16"/>
        </w:rPr>
        <w:t>229.9</w:t>
      </w:r>
      <w:r w:rsidR="0041405D" w:rsidRPr="00214740">
        <w:rPr>
          <w:rFonts w:ascii="楷体_GB2312" w:eastAsia="楷体_GB2312" w:hAnsi="宋体" w:cs="宋体" w:hint="eastAsia"/>
          <w:kern w:val="0"/>
          <w:szCs w:val="21"/>
        </w:rPr>
        <w:t>亿美元，</w:t>
      </w:r>
      <w:r w:rsidR="0041405D">
        <w:rPr>
          <w:rFonts w:ascii="楷体_GB2312" w:eastAsia="楷体_GB2312" w:hAnsi="宋体" w:cs="宋体" w:hint="eastAsia"/>
          <w:kern w:val="0"/>
          <w:szCs w:val="21"/>
        </w:rPr>
        <w:t>其中</w:t>
      </w:r>
      <w:r w:rsidRPr="001E2D14">
        <w:rPr>
          <w:rFonts w:ascii="楷体_GB2312" w:eastAsia="楷体_GB2312" w:hAnsi="宋体" w:cs="宋体" w:hint="eastAsia"/>
          <w:kern w:val="0"/>
          <w:szCs w:val="21"/>
        </w:rPr>
        <w:t>出口增速同比下降18.1%，创四年来新低</w:t>
      </w:r>
      <w:r w:rsidR="00BF7FF4">
        <w:rPr>
          <w:rFonts w:ascii="楷体_GB2312" w:eastAsia="楷体_GB2312" w:hAnsi="宋体" w:cs="宋体" w:hint="eastAsia"/>
          <w:kern w:val="0"/>
          <w:szCs w:val="21"/>
        </w:rPr>
        <w:t>。</w:t>
      </w:r>
      <w:r w:rsidR="00075A47">
        <w:rPr>
          <w:rFonts w:ascii="楷体_GB2312" w:eastAsia="楷体_GB2312" w:hAnsi="宋体" w:cs="宋体" w:hint="eastAsia"/>
          <w:kern w:val="0"/>
          <w:szCs w:val="21"/>
        </w:rPr>
        <w:t>中国银行</w:t>
      </w:r>
      <w:r w:rsidR="002448AB">
        <w:rPr>
          <w:rFonts w:ascii="楷体_GB2312" w:eastAsia="楷体_GB2312" w:hAnsi="宋体" w:cs="宋体" w:hint="eastAsia"/>
          <w:kern w:val="0"/>
          <w:szCs w:val="21"/>
        </w:rPr>
        <w:t>发布报告认为，</w:t>
      </w:r>
      <w:r w:rsidR="002448AB" w:rsidRPr="002448AB">
        <w:rPr>
          <w:rFonts w:ascii="楷体_GB2312" w:eastAsia="楷体_GB2312" w:hAnsi="宋体" w:cs="宋体"/>
          <w:kern w:val="0"/>
          <w:szCs w:val="21"/>
        </w:rPr>
        <w:t>一季度我国经济下行压力明显增大，估计一季度GDP增长7.4%，比去年同期有所回落</w:t>
      </w:r>
      <w:r w:rsidR="00B62A80">
        <w:rPr>
          <w:rFonts w:ascii="楷体_GB2312" w:eastAsia="楷体_GB2312" w:hAnsi="宋体" w:cs="宋体" w:hint="eastAsia"/>
          <w:kern w:val="0"/>
          <w:szCs w:val="21"/>
        </w:rPr>
        <w:t>。</w:t>
      </w:r>
    </w:p>
    <w:tbl>
      <w:tblPr>
        <w:tblW w:w="9356" w:type="dxa"/>
        <w:tblInd w:w="-34" w:type="dxa"/>
        <w:tblLayout w:type="fixed"/>
        <w:tblLook w:val="04A0"/>
      </w:tblPr>
      <w:tblGrid>
        <w:gridCol w:w="4678"/>
        <w:gridCol w:w="142"/>
        <w:gridCol w:w="4536"/>
      </w:tblGrid>
      <w:tr w:rsidR="00D91DEA" w:rsidRPr="00051DF8" w:rsidTr="00A422E1">
        <w:tc>
          <w:tcPr>
            <w:tcW w:w="4820" w:type="dxa"/>
            <w:gridSpan w:val="2"/>
            <w:tcBorders>
              <w:bottom w:val="single" w:sz="4" w:space="0" w:color="FF0000"/>
            </w:tcBorders>
          </w:tcPr>
          <w:p w:rsidR="00D91DEA" w:rsidRPr="00144B03" w:rsidRDefault="00D91DEA" w:rsidP="00722604">
            <w:pPr>
              <w:spacing w:line="360" w:lineRule="auto"/>
              <w:ind w:left="33" w:hangingChars="18" w:hanging="33"/>
              <w:jc w:val="left"/>
              <w:rPr>
                <w:rFonts w:ascii="楷体_GB2312" w:eastAsia="楷体_GB2312"/>
                <w:b/>
                <w:color w:val="000000"/>
                <w:sz w:val="18"/>
                <w:szCs w:val="18"/>
              </w:rPr>
            </w:pPr>
            <w:r w:rsidRPr="00144B03">
              <w:rPr>
                <w:rFonts w:ascii="楷体_GB2312" w:eastAsia="楷体_GB2312" w:hint="eastAsia"/>
                <w:b/>
                <w:color w:val="000000"/>
                <w:sz w:val="18"/>
                <w:szCs w:val="18"/>
              </w:rPr>
              <w:lastRenderedPageBreak/>
              <w:t>图</w:t>
            </w:r>
            <w:r>
              <w:rPr>
                <w:rFonts w:ascii="楷体_GB2312" w:eastAsia="楷体_GB2312" w:hint="eastAsia"/>
                <w:b/>
                <w:color w:val="000000"/>
                <w:sz w:val="18"/>
                <w:szCs w:val="18"/>
              </w:rPr>
              <w:t>14</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中国：贸易差额（亿美元）</w:t>
            </w:r>
          </w:p>
        </w:tc>
        <w:tc>
          <w:tcPr>
            <w:tcW w:w="4536" w:type="dxa"/>
            <w:tcBorders>
              <w:bottom w:val="single" w:sz="4" w:space="0" w:color="FF0000"/>
            </w:tcBorders>
          </w:tcPr>
          <w:p w:rsidR="00D91DEA" w:rsidRPr="00144B03" w:rsidRDefault="00D91DEA" w:rsidP="00171C4F">
            <w:pPr>
              <w:spacing w:line="360" w:lineRule="auto"/>
              <w:ind w:left="4017" w:hangingChars="2223" w:hanging="4017"/>
              <w:jc w:val="left"/>
              <w:rPr>
                <w:rFonts w:ascii="楷体_GB2312" w:eastAsia="楷体_GB2312"/>
                <w:b/>
                <w:color w:val="000000"/>
                <w:sz w:val="18"/>
                <w:szCs w:val="18"/>
              </w:rPr>
            </w:pPr>
            <w:r w:rsidRPr="00144B03">
              <w:rPr>
                <w:rFonts w:ascii="楷体_GB2312" w:eastAsia="楷体_GB2312" w:hint="eastAsia"/>
                <w:b/>
                <w:color w:val="000000"/>
                <w:sz w:val="18"/>
                <w:szCs w:val="18"/>
              </w:rPr>
              <w:t>图</w:t>
            </w:r>
            <w:r>
              <w:rPr>
                <w:rFonts w:ascii="楷体_GB2312" w:eastAsia="楷体_GB2312" w:hint="eastAsia"/>
                <w:b/>
                <w:color w:val="000000"/>
                <w:sz w:val="18"/>
                <w:szCs w:val="18"/>
              </w:rPr>
              <w:t>15</w:t>
            </w:r>
            <w:r w:rsidRPr="00144B03">
              <w:rPr>
                <w:rFonts w:ascii="楷体_GB2312" w:eastAsia="楷体_GB2312" w:hint="eastAsia"/>
                <w:b/>
                <w:color w:val="000000"/>
                <w:sz w:val="18"/>
                <w:szCs w:val="18"/>
              </w:rPr>
              <w:t>、</w:t>
            </w:r>
            <w:r>
              <w:rPr>
                <w:rFonts w:ascii="楷体_GB2312" w:eastAsia="楷体_GB2312" w:hint="eastAsia"/>
                <w:b/>
                <w:color w:val="000000"/>
                <w:sz w:val="18"/>
                <w:szCs w:val="18"/>
              </w:rPr>
              <w:t>中国：</w:t>
            </w:r>
            <w:r w:rsidR="00171C4F">
              <w:rPr>
                <w:rFonts w:ascii="楷体_GB2312" w:eastAsia="楷体_GB2312" w:hint="eastAsia"/>
                <w:b/>
                <w:color w:val="000000"/>
                <w:sz w:val="18"/>
                <w:szCs w:val="18"/>
              </w:rPr>
              <w:t>GDP</w:t>
            </w:r>
            <w:r>
              <w:rPr>
                <w:rFonts w:ascii="楷体_GB2312" w:eastAsia="楷体_GB2312" w:hint="eastAsia"/>
                <w:b/>
                <w:color w:val="000000"/>
                <w:sz w:val="18"/>
                <w:szCs w:val="18"/>
              </w:rPr>
              <w:t>：</w:t>
            </w:r>
            <w:r w:rsidR="00171C4F">
              <w:rPr>
                <w:rFonts w:ascii="楷体_GB2312" w:eastAsia="楷体_GB2312" w:hint="eastAsia"/>
                <w:b/>
                <w:color w:val="000000"/>
                <w:sz w:val="18"/>
                <w:szCs w:val="18"/>
              </w:rPr>
              <w:t>当季</w:t>
            </w:r>
            <w:r>
              <w:rPr>
                <w:rFonts w:ascii="楷体_GB2312" w:eastAsia="楷体_GB2312" w:hint="eastAsia"/>
                <w:b/>
                <w:color w:val="000000"/>
                <w:sz w:val="18"/>
                <w:szCs w:val="18"/>
              </w:rPr>
              <w:t>同比（%）</w:t>
            </w:r>
            <w:r w:rsidR="00075A47">
              <w:rPr>
                <w:rFonts w:ascii="楷体_GB2312" w:eastAsia="楷体_GB2312" w:hint="eastAsia"/>
                <w:b/>
                <w:color w:val="000000"/>
                <w:sz w:val="18"/>
                <w:szCs w:val="18"/>
              </w:rPr>
              <w:t>（中国银行预期值）</w:t>
            </w:r>
          </w:p>
        </w:tc>
      </w:tr>
      <w:tr w:rsidR="002749F7" w:rsidRPr="00B22D95" w:rsidTr="00A422E1">
        <w:tc>
          <w:tcPr>
            <w:tcW w:w="4678" w:type="dxa"/>
            <w:tcBorders>
              <w:top w:val="single" w:sz="4" w:space="0" w:color="FF0000"/>
              <w:bottom w:val="single" w:sz="4" w:space="0" w:color="FF0000"/>
            </w:tcBorders>
          </w:tcPr>
          <w:p w:rsidR="002749F7" w:rsidRPr="00B22D95" w:rsidRDefault="0067462E" w:rsidP="00A422E1">
            <w:pPr>
              <w:spacing w:line="360" w:lineRule="auto"/>
              <w:ind w:leftChars="16" w:left="34"/>
              <w:rPr>
                <w:rFonts w:ascii="楷体_GB2312" w:eastAsia="楷体_GB2312"/>
                <w:color w:val="000000"/>
                <w:sz w:val="18"/>
                <w:szCs w:val="18"/>
              </w:rPr>
            </w:pPr>
            <w:r>
              <w:rPr>
                <w:noProof/>
              </w:rPr>
              <w:drawing>
                <wp:inline distT="0" distB="0" distL="0" distR="0">
                  <wp:extent cx="2830830" cy="1336040"/>
                  <wp:effectExtent l="19050" t="0" r="762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srcRect/>
                          <a:stretch>
                            <a:fillRect/>
                          </a:stretch>
                        </pic:blipFill>
                        <pic:spPr bwMode="auto">
                          <a:xfrm>
                            <a:off x="0" y="0"/>
                            <a:ext cx="2830830" cy="1336040"/>
                          </a:xfrm>
                          <a:prstGeom prst="rect">
                            <a:avLst/>
                          </a:prstGeom>
                          <a:noFill/>
                          <a:ln w="9525">
                            <a:noFill/>
                            <a:miter lim="800000"/>
                            <a:headEnd/>
                            <a:tailEnd/>
                          </a:ln>
                        </pic:spPr>
                      </pic:pic>
                    </a:graphicData>
                  </a:graphic>
                </wp:inline>
              </w:drawing>
            </w:r>
          </w:p>
        </w:tc>
        <w:tc>
          <w:tcPr>
            <w:tcW w:w="4678" w:type="dxa"/>
            <w:gridSpan w:val="2"/>
            <w:tcBorders>
              <w:top w:val="single" w:sz="4" w:space="0" w:color="FF0000"/>
              <w:bottom w:val="single" w:sz="4" w:space="0" w:color="FF0000"/>
            </w:tcBorders>
          </w:tcPr>
          <w:p w:rsidR="002749F7" w:rsidRPr="00B22D95" w:rsidRDefault="00171C4F" w:rsidP="00A422E1">
            <w:pPr>
              <w:spacing w:line="360" w:lineRule="auto"/>
              <w:ind w:left="1" w:firstLineChars="18" w:firstLine="32"/>
              <w:jc w:val="right"/>
              <w:rPr>
                <w:rFonts w:ascii="楷体_GB2312" w:eastAsia="楷体_GB2312"/>
                <w:color w:val="000000"/>
                <w:sz w:val="18"/>
                <w:szCs w:val="18"/>
              </w:rPr>
            </w:pPr>
            <w:r>
              <w:rPr>
                <w:rFonts w:ascii="楷体_GB2312" w:eastAsia="楷体_GB2312"/>
                <w:noProof/>
                <w:color w:val="000000"/>
                <w:sz w:val="18"/>
                <w:szCs w:val="18"/>
              </w:rPr>
              <w:drawing>
                <wp:inline distT="0" distB="0" distL="0" distR="0">
                  <wp:extent cx="2830830" cy="1343660"/>
                  <wp:effectExtent l="19050" t="0" r="762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srcRect/>
                          <a:stretch>
                            <a:fillRect/>
                          </a:stretch>
                        </pic:blipFill>
                        <pic:spPr bwMode="auto">
                          <a:xfrm>
                            <a:off x="0" y="0"/>
                            <a:ext cx="2830830" cy="1343660"/>
                          </a:xfrm>
                          <a:prstGeom prst="rect">
                            <a:avLst/>
                          </a:prstGeom>
                          <a:noFill/>
                          <a:ln w="9525">
                            <a:noFill/>
                            <a:miter lim="800000"/>
                            <a:headEnd/>
                            <a:tailEnd/>
                          </a:ln>
                        </pic:spPr>
                      </pic:pic>
                    </a:graphicData>
                  </a:graphic>
                </wp:inline>
              </w:drawing>
            </w:r>
          </w:p>
        </w:tc>
      </w:tr>
    </w:tbl>
    <w:p w:rsidR="002749F7" w:rsidRDefault="002749F7" w:rsidP="002749F7">
      <w:pPr>
        <w:rPr>
          <w:rFonts w:ascii="楷体_GB2312" w:eastAsia="楷体_GB2312"/>
          <w:noProof/>
          <w:color w:val="000000"/>
        </w:rPr>
      </w:pPr>
      <w:r>
        <w:rPr>
          <w:rFonts w:ascii="楷体_GB2312" w:eastAsia="楷体_GB2312" w:hint="eastAsia"/>
          <w:noProof/>
          <w:color w:val="000000"/>
        </w:rPr>
        <w:t>来源：</w:t>
      </w:r>
      <w:r w:rsidRPr="00156066">
        <w:rPr>
          <w:rFonts w:ascii="楷体_GB2312" w:eastAsia="楷体_GB2312" w:hint="eastAsia"/>
          <w:noProof/>
          <w:color w:val="000000"/>
        </w:rPr>
        <w:t>wind</w:t>
      </w:r>
      <w:r>
        <w:rPr>
          <w:rFonts w:ascii="楷体_GB2312" w:eastAsia="楷体_GB2312" w:hint="eastAsia"/>
          <w:noProof/>
          <w:color w:val="000000"/>
        </w:rPr>
        <w:t>，</w:t>
      </w:r>
      <w:r w:rsidRPr="00156066">
        <w:rPr>
          <w:rFonts w:ascii="楷体_GB2312" w:eastAsia="楷体_GB2312" w:hint="eastAsia"/>
          <w:noProof/>
          <w:color w:val="000000"/>
        </w:rPr>
        <w:t>上海证券基金评价研究中心</w:t>
      </w:r>
    </w:p>
    <w:p w:rsidR="0007081F" w:rsidRPr="0007081F" w:rsidRDefault="003F1766" w:rsidP="00DC2903">
      <w:pPr>
        <w:spacing w:beforeLines="50"/>
        <w:ind w:leftChars="1350" w:left="2835" w:firstLineChars="202" w:firstLine="424"/>
        <w:rPr>
          <w:rFonts w:ascii="楷体_GB2312" w:eastAsia="楷体_GB2312" w:hAnsi="宋体" w:cs="宋体"/>
          <w:b/>
          <w:bCs/>
          <w:kern w:val="0"/>
          <w:szCs w:val="21"/>
        </w:rPr>
      </w:pPr>
      <w:r w:rsidRPr="0007081F">
        <w:rPr>
          <w:rFonts w:ascii="楷体_GB2312" w:eastAsia="楷体_GB2312" w:hAnsi="宋体" w:cs="宋体" w:hint="eastAsia"/>
          <w:kern w:val="0"/>
          <w:szCs w:val="21"/>
        </w:rPr>
        <w:t>上月</w:t>
      </w:r>
      <w:r w:rsidR="002043E4" w:rsidRPr="0007081F">
        <w:rPr>
          <w:rFonts w:ascii="楷体_GB2312" w:eastAsia="楷体_GB2312" w:hAnsi="宋体" w:cs="宋体" w:hint="eastAsia"/>
          <w:kern w:val="0"/>
          <w:szCs w:val="21"/>
        </w:rPr>
        <w:t>中国市场还面临更多的挑战。</w:t>
      </w:r>
      <w:r w:rsidRPr="0007081F">
        <w:rPr>
          <w:rFonts w:ascii="楷体_GB2312" w:eastAsia="楷体_GB2312" w:hAnsi="宋体" w:cs="宋体" w:hint="eastAsia"/>
          <w:kern w:val="0"/>
          <w:szCs w:val="21"/>
        </w:rPr>
        <w:t>1、</w:t>
      </w:r>
      <w:r w:rsidR="0037720F">
        <w:rPr>
          <w:rFonts w:ascii="楷体_GB2312" w:eastAsia="楷体_GB2312" w:hAnsi="宋体" w:cs="宋体" w:hint="eastAsia"/>
          <w:kern w:val="0"/>
          <w:szCs w:val="21"/>
        </w:rPr>
        <w:t>人民币汇率的大幅波动表明人民币国际化进程加快</w:t>
      </w:r>
      <w:r w:rsidR="0007081F">
        <w:rPr>
          <w:rFonts w:ascii="楷体_GB2312" w:eastAsia="楷体_GB2312" w:hAnsi="宋体" w:cs="宋体" w:hint="eastAsia"/>
          <w:kern w:val="0"/>
          <w:szCs w:val="21"/>
        </w:rPr>
        <w:t>；2、</w:t>
      </w:r>
      <w:r w:rsidR="0037720F" w:rsidRPr="0007081F">
        <w:rPr>
          <w:rFonts w:ascii="楷体_GB2312" w:eastAsia="楷体_GB2312" w:hAnsi="宋体" w:cs="宋体" w:hint="eastAsia"/>
          <w:kern w:val="0"/>
          <w:szCs w:val="21"/>
        </w:rPr>
        <w:t>工业企业利润增幅</w:t>
      </w:r>
      <w:r w:rsidR="0091409C">
        <w:rPr>
          <w:rFonts w:ascii="楷体_GB2312" w:eastAsia="楷体_GB2312" w:hAnsi="宋体" w:cs="宋体" w:hint="eastAsia"/>
          <w:kern w:val="0"/>
          <w:szCs w:val="21"/>
        </w:rPr>
        <w:t>才出现</w:t>
      </w:r>
      <w:r w:rsidR="0037720F" w:rsidRPr="0007081F">
        <w:rPr>
          <w:rFonts w:ascii="楷体_GB2312" w:eastAsia="楷体_GB2312" w:hAnsi="宋体" w:cs="宋体" w:hint="eastAsia"/>
          <w:kern w:val="0"/>
          <w:szCs w:val="21"/>
        </w:rPr>
        <w:t>回落</w:t>
      </w:r>
      <w:r w:rsidR="0007081F">
        <w:rPr>
          <w:rFonts w:ascii="楷体_GB2312" w:eastAsia="楷体_GB2312" w:hAnsi="宋体" w:cs="宋体" w:hint="eastAsia"/>
          <w:kern w:val="0"/>
          <w:szCs w:val="21"/>
        </w:rPr>
        <w:t>；</w:t>
      </w:r>
      <w:r w:rsidR="0037720F">
        <w:rPr>
          <w:rFonts w:ascii="楷体_GB2312" w:eastAsia="楷体_GB2312" w:hAnsi="宋体" w:cs="宋体" w:hint="eastAsia"/>
          <w:kern w:val="0"/>
          <w:szCs w:val="21"/>
        </w:rPr>
        <w:t>3、</w:t>
      </w:r>
      <w:r w:rsidR="0091409C">
        <w:rPr>
          <w:rFonts w:ascii="楷体_GB2312" w:eastAsia="楷体_GB2312" w:hAnsi="宋体" w:cs="宋体" w:hint="eastAsia"/>
          <w:kern w:val="0"/>
          <w:szCs w:val="21"/>
        </w:rPr>
        <w:t>2月固定资产投资加速下行</w:t>
      </w:r>
      <w:r w:rsidR="00814551">
        <w:rPr>
          <w:rFonts w:ascii="楷体_GB2312" w:eastAsia="楷体_GB2312" w:hAnsi="宋体" w:cs="宋体" w:hint="eastAsia"/>
          <w:kern w:val="0"/>
          <w:szCs w:val="21"/>
        </w:rPr>
        <w:t>。</w:t>
      </w:r>
    </w:p>
    <w:p w:rsidR="00AE0E62" w:rsidRPr="00816D44" w:rsidRDefault="00141178" w:rsidP="00141178">
      <w:pPr>
        <w:pageBreakBefore/>
        <w:ind w:firstLineChars="1000" w:firstLine="2811"/>
        <w:rPr>
          <w:rFonts w:ascii="黑体" w:eastAsia="黑体" w:hAnsi="宋体-18030" w:cs="宋体-18030"/>
          <w:b/>
          <w:bCs/>
          <w:color w:val="000000"/>
          <w:kern w:val="44"/>
          <w:sz w:val="28"/>
          <w:szCs w:val="28"/>
        </w:rPr>
      </w:pPr>
      <w:r>
        <w:rPr>
          <w:rFonts w:ascii="黑体" w:eastAsia="黑体" w:hAnsi="宋体-18030" w:cs="宋体-18030" w:hint="eastAsia"/>
          <w:b/>
          <w:bCs/>
          <w:color w:val="000000"/>
          <w:kern w:val="44"/>
          <w:sz w:val="28"/>
          <w:szCs w:val="28"/>
        </w:rPr>
        <w:lastRenderedPageBreak/>
        <w:t>三、</w:t>
      </w:r>
      <w:r w:rsidR="00AE0E62">
        <w:rPr>
          <w:rFonts w:ascii="黑体" w:eastAsia="黑体" w:hAnsi="宋体-18030" w:cs="宋体-18030" w:hint="eastAsia"/>
          <w:b/>
          <w:bCs/>
          <w:color w:val="000000"/>
          <w:kern w:val="44"/>
          <w:sz w:val="28"/>
          <w:szCs w:val="28"/>
        </w:rPr>
        <w:t>各期组合及业绩回顾</w:t>
      </w:r>
    </w:p>
    <w:p w:rsidR="009E78C8" w:rsidRDefault="008E0A57" w:rsidP="009973F4">
      <w:pPr>
        <w:ind w:leftChars="1350" w:left="2835" w:firstLine="420"/>
        <w:rPr>
          <w:rFonts w:ascii="楷体_GB2312" w:eastAsia="楷体_GB2312"/>
          <w:noProof/>
        </w:rPr>
      </w:pPr>
      <w:r w:rsidRPr="00AB08B9">
        <w:rPr>
          <w:rFonts w:ascii="楷体_GB2312" w:eastAsia="楷体_GB2312" w:hint="eastAsia"/>
          <w:noProof/>
        </w:rPr>
        <w:t>自2011年2月以来，同期</w:t>
      </w:r>
      <w:r w:rsidR="00CF5001">
        <w:rPr>
          <w:rFonts w:ascii="楷体_GB2312" w:eastAsia="楷体_GB2312" w:hint="eastAsia"/>
          <w:noProof/>
        </w:rPr>
        <w:t>基础市场表现低迷，</w:t>
      </w:r>
      <w:r w:rsidRPr="00AB08B9">
        <w:rPr>
          <w:rFonts w:ascii="楷体_GB2312" w:eastAsia="楷体_GB2312" w:hint="eastAsia"/>
          <w:noProof/>
        </w:rPr>
        <w:t>上证指数</w:t>
      </w:r>
      <w:r w:rsidR="00E21593">
        <w:rPr>
          <w:rFonts w:ascii="楷体_GB2312" w:eastAsia="楷体_GB2312" w:hint="eastAsia"/>
          <w:noProof/>
        </w:rPr>
        <w:t>下跌</w:t>
      </w:r>
      <w:r w:rsidR="00985E0E" w:rsidRPr="00985E0E">
        <w:rPr>
          <w:rFonts w:ascii="楷体_GB2312" w:eastAsia="楷体_GB2312"/>
          <w:noProof/>
        </w:rPr>
        <w:t>2</w:t>
      </w:r>
      <w:r w:rsidR="006C364B">
        <w:rPr>
          <w:rFonts w:ascii="楷体_GB2312" w:eastAsia="楷体_GB2312" w:hint="eastAsia"/>
          <w:noProof/>
        </w:rPr>
        <w:t>7</w:t>
      </w:r>
      <w:r w:rsidR="00985E0E" w:rsidRPr="00985E0E">
        <w:rPr>
          <w:rFonts w:ascii="楷体_GB2312" w:eastAsia="楷体_GB2312"/>
          <w:noProof/>
        </w:rPr>
        <w:t>.</w:t>
      </w:r>
      <w:r w:rsidR="006C364B">
        <w:rPr>
          <w:rFonts w:ascii="楷体_GB2312" w:eastAsia="楷体_GB2312" w:hint="eastAsia"/>
          <w:noProof/>
        </w:rPr>
        <w:t>14</w:t>
      </w:r>
      <w:r w:rsidRPr="00AB08B9">
        <w:rPr>
          <w:rFonts w:ascii="楷体_GB2312" w:eastAsia="楷体_GB2312" w:hint="eastAsia"/>
          <w:noProof/>
        </w:rPr>
        <w:t>%，深圳综指</w:t>
      </w:r>
      <w:r w:rsidR="00E21593">
        <w:rPr>
          <w:rFonts w:ascii="楷体_GB2312" w:eastAsia="楷体_GB2312" w:hint="eastAsia"/>
          <w:noProof/>
        </w:rPr>
        <w:t>下跌</w:t>
      </w:r>
      <w:r w:rsidR="006C364B">
        <w:rPr>
          <w:rFonts w:ascii="楷体_GB2312" w:eastAsia="楷体_GB2312" w:hint="eastAsia"/>
          <w:noProof/>
        </w:rPr>
        <w:t>13</w:t>
      </w:r>
      <w:r w:rsidR="00985E0E" w:rsidRPr="00985E0E">
        <w:rPr>
          <w:rFonts w:ascii="楷体_GB2312" w:eastAsia="楷体_GB2312"/>
          <w:noProof/>
        </w:rPr>
        <w:t>.</w:t>
      </w:r>
      <w:r w:rsidR="006C364B">
        <w:rPr>
          <w:rFonts w:ascii="楷体_GB2312" w:eastAsia="楷体_GB2312" w:hint="eastAsia"/>
          <w:noProof/>
        </w:rPr>
        <w:t>17</w:t>
      </w:r>
      <w:r w:rsidRPr="00AB08B9">
        <w:rPr>
          <w:rFonts w:ascii="楷体_GB2312" w:eastAsia="楷体_GB2312" w:hint="eastAsia"/>
          <w:noProof/>
        </w:rPr>
        <w:t>%。</w:t>
      </w:r>
      <w:r w:rsidR="00CF5001">
        <w:rPr>
          <w:rFonts w:ascii="楷体_GB2312" w:eastAsia="楷体_GB2312" w:hint="eastAsia"/>
          <w:noProof/>
        </w:rPr>
        <w:t>上海证券三个风险等级组合</w:t>
      </w:r>
      <w:r w:rsidR="00974B66">
        <w:rPr>
          <w:rFonts w:ascii="楷体_GB2312" w:eastAsia="楷体_GB2312" w:hint="eastAsia"/>
          <w:noProof/>
        </w:rPr>
        <w:t>实现正收益</w:t>
      </w:r>
      <w:r w:rsidRPr="00AB08B9">
        <w:rPr>
          <w:rFonts w:ascii="楷体_GB2312" w:eastAsia="楷体_GB2312" w:hint="eastAsia"/>
          <w:noProof/>
        </w:rPr>
        <w:t>，</w:t>
      </w:r>
      <w:r w:rsidR="00B67ADD">
        <w:rPr>
          <w:rFonts w:ascii="楷体_GB2312" w:eastAsia="楷体_GB2312" w:hint="eastAsia"/>
          <w:noProof/>
        </w:rPr>
        <w:t>积极型、平衡型、稳健型</w:t>
      </w:r>
      <w:r w:rsidRPr="00AB08B9">
        <w:rPr>
          <w:rFonts w:ascii="楷体_GB2312" w:eastAsia="楷体_GB2312" w:hint="eastAsia"/>
          <w:noProof/>
        </w:rPr>
        <w:t>累计</w:t>
      </w:r>
      <w:r w:rsidR="00B67ADD">
        <w:rPr>
          <w:rFonts w:ascii="楷体_GB2312" w:eastAsia="楷体_GB2312" w:hint="eastAsia"/>
          <w:noProof/>
        </w:rPr>
        <w:t>分别上涨</w:t>
      </w:r>
      <w:r w:rsidR="009973F4" w:rsidRPr="009973F4">
        <w:rPr>
          <w:rFonts w:ascii="楷体_GB2312" w:eastAsia="楷体_GB2312"/>
          <w:noProof/>
        </w:rPr>
        <w:t>1</w:t>
      </w:r>
      <w:r w:rsidR="006C364B">
        <w:rPr>
          <w:rFonts w:ascii="楷体_GB2312" w:eastAsia="楷体_GB2312" w:hint="eastAsia"/>
          <w:noProof/>
        </w:rPr>
        <w:t>5</w:t>
      </w:r>
      <w:r w:rsidR="009973F4" w:rsidRPr="009973F4">
        <w:rPr>
          <w:rFonts w:ascii="楷体_GB2312" w:eastAsia="楷体_GB2312"/>
          <w:noProof/>
        </w:rPr>
        <w:t>.</w:t>
      </w:r>
      <w:r w:rsidR="006C364B">
        <w:rPr>
          <w:rFonts w:ascii="楷体_GB2312" w:eastAsia="楷体_GB2312" w:hint="eastAsia"/>
          <w:noProof/>
        </w:rPr>
        <w:t>33</w:t>
      </w:r>
      <w:r w:rsidR="009973F4" w:rsidRPr="009973F4">
        <w:rPr>
          <w:rFonts w:ascii="楷体_GB2312" w:eastAsia="楷体_GB2312"/>
          <w:noProof/>
        </w:rPr>
        <w:t>%</w:t>
      </w:r>
      <w:r w:rsidR="009973F4">
        <w:rPr>
          <w:rFonts w:ascii="楷体_GB2312" w:eastAsia="楷体_GB2312" w:hint="eastAsia"/>
          <w:noProof/>
        </w:rPr>
        <w:t>、</w:t>
      </w:r>
      <w:r w:rsidR="009973F4" w:rsidRPr="009973F4">
        <w:rPr>
          <w:rFonts w:ascii="楷体_GB2312" w:eastAsia="楷体_GB2312"/>
          <w:noProof/>
        </w:rPr>
        <w:t>14.77%</w:t>
      </w:r>
      <w:r w:rsidR="009973F4">
        <w:rPr>
          <w:rFonts w:ascii="楷体_GB2312" w:eastAsia="楷体_GB2312" w:hint="eastAsia"/>
          <w:noProof/>
        </w:rPr>
        <w:t>、</w:t>
      </w:r>
      <w:r w:rsidR="009973F4" w:rsidRPr="009973F4">
        <w:rPr>
          <w:rFonts w:ascii="楷体_GB2312" w:eastAsia="楷体_GB2312"/>
          <w:noProof/>
        </w:rPr>
        <w:t>12.81%</w:t>
      </w:r>
      <w:r w:rsidRPr="00AB08B9">
        <w:rPr>
          <w:rFonts w:ascii="楷体_GB2312" w:eastAsia="楷体_GB2312" w:hint="eastAsia"/>
          <w:noProof/>
        </w:rPr>
        <w:t>，</w:t>
      </w:r>
      <w:r w:rsidR="00B67ADD">
        <w:rPr>
          <w:rFonts w:ascii="楷体_GB2312" w:eastAsia="楷体_GB2312" w:hint="eastAsia"/>
          <w:noProof/>
        </w:rPr>
        <w:t>分别</w:t>
      </w:r>
      <w:r w:rsidRPr="00AB08B9">
        <w:rPr>
          <w:rFonts w:ascii="楷体_GB2312" w:eastAsia="楷体_GB2312" w:hint="eastAsia"/>
          <w:noProof/>
        </w:rPr>
        <w:t>超越</w:t>
      </w:r>
      <w:r w:rsidR="00B67ADD">
        <w:rPr>
          <w:rFonts w:ascii="楷体_GB2312" w:eastAsia="楷体_GB2312" w:hint="eastAsia"/>
          <w:noProof/>
        </w:rPr>
        <w:t>相应</w:t>
      </w:r>
      <w:r w:rsidRPr="00AB08B9">
        <w:rPr>
          <w:rFonts w:ascii="楷体_GB2312" w:eastAsia="楷体_GB2312" w:hint="eastAsia"/>
          <w:noProof/>
        </w:rPr>
        <w:t>基准</w:t>
      </w:r>
      <w:r w:rsidR="0046610D">
        <w:rPr>
          <w:rFonts w:ascii="楷体_GB2312" w:eastAsia="楷体_GB2312"/>
          <w:noProof/>
        </w:rPr>
        <w:t>2</w:t>
      </w:r>
      <w:r w:rsidR="006C364B">
        <w:rPr>
          <w:rFonts w:ascii="楷体_GB2312" w:eastAsia="楷体_GB2312" w:hint="eastAsia"/>
          <w:noProof/>
        </w:rPr>
        <w:t>2</w:t>
      </w:r>
      <w:r w:rsidR="0046610D">
        <w:rPr>
          <w:rFonts w:ascii="楷体_GB2312" w:eastAsia="楷体_GB2312"/>
          <w:noProof/>
        </w:rPr>
        <w:t>.</w:t>
      </w:r>
      <w:r w:rsidR="006C364B">
        <w:rPr>
          <w:rFonts w:ascii="楷体_GB2312" w:eastAsia="楷体_GB2312" w:hint="eastAsia"/>
          <w:noProof/>
        </w:rPr>
        <w:t>9</w:t>
      </w:r>
      <w:r w:rsidR="008376E2">
        <w:rPr>
          <w:rFonts w:ascii="楷体_GB2312" w:eastAsia="楷体_GB2312" w:hint="eastAsia"/>
          <w:noProof/>
        </w:rPr>
        <w:t>4</w:t>
      </w:r>
      <w:r w:rsidR="0046610D">
        <w:rPr>
          <w:rFonts w:ascii="楷体_GB2312" w:eastAsia="楷体_GB2312" w:hint="eastAsia"/>
          <w:noProof/>
        </w:rPr>
        <w:t>、</w:t>
      </w:r>
      <w:r w:rsidR="0046610D">
        <w:rPr>
          <w:rFonts w:ascii="楷体_GB2312" w:eastAsia="楷体_GB2312"/>
          <w:noProof/>
        </w:rPr>
        <w:t>1</w:t>
      </w:r>
      <w:r w:rsidR="009973F4">
        <w:rPr>
          <w:rFonts w:ascii="楷体_GB2312" w:eastAsia="楷体_GB2312" w:hint="eastAsia"/>
          <w:noProof/>
        </w:rPr>
        <w:t>3</w:t>
      </w:r>
      <w:r w:rsidR="0046610D">
        <w:rPr>
          <w:rFonts w:ascii="楷体_GB2312" w:eastAsia="楷体_GB2312"/>
          <w:noProof/>
        </w:rPr>
        <w:t>.</w:t>
      </w:r>
      <w:r w:rsidR="008376E2">
        <w:rPr>
          <w:rFonts w:ascii="楷体_GB2312" w:eastAsia="楷体_GB2312" w:hint="eastAsia"/>
          <w:noProof/>
        </w:rPr>
        <w:t>41</w:t>
      </w:r>
      <w:r w:rsidR="0046610D">
        <w:rPr>
          <w:rFonts w:ascii="楷体_GB2312" w:eastAsia="楷体_GB2312" w:hint="eastAsia"/>
          <w:noProof/>
        </w:rPr>
        <w:t>、</w:t>
      </w:r>
      <w:r w:rsidR="0046610D" w:rsidRPr="0046610D">
        <w:rPr>
          <w:rFonts w:ascii="楷体_GB2312" w:eastAsia="楷体_GB2312"/>
          <w:noProof/>
        </w:rPr>
        <w:t>2.</w:t>
      </w:r>
      <w:r w:rsidR="009973F4">
        <w:rPr>
          <w:rFonts w:ascii="楷体_GB2312" w:eastAsia="楷体_GB2312" w:hint="eastAsia"/>
          <w:noProof/>
        </w:rPr>
        <w:t>3</w:t>
      </w:r>
      <w:r w:rsidR="0046610D" w:rsidRPr="0046610D">
        <w:rPr>
          <w:rFonts w:ascii="楷体_GB2312" w:eastAsia="楷体_GB2312"/>
          <w:noProof/>
        </w:rPr>
        <w:t>2</w:t>
      </w:r>
      <w:r w:rsidR="0046610D">
        <w:rPr>
          <w:rFonts w:ascii="楷体_GB2312" w:eastAsia="楷体_GB2312" w:hint="eastAsia"/>
          <w:noProof/>
        </w:rPr>
        <w:t>个</w:t>
      </w:r>
      <w:r w:rsidR="00B67ADD">
        <w:rPr>
          <w:rFonts w:ascii="楷体_GB2312" w:eastAsia="楷体_GB2312" w:hint="eastAsia"/>
          <w:noProof/>
        </w:rPr>
        <w:t>百分点。</w:t>
      </w:r>
    </w:p>
    <w:p w:rsidR="00FA36C2" w:rsidRPr="004C1094" w:rsidRDefault="00FA36C2" w:rsidP="00083D28">
      <w:pPr>
        <w:ind w:leftChars="1350" w:left="2835" w:firstLine="420"/>
        <w:rPr>
          <w:rFonts w:ascii="楷体_GB2312" w:eastAsia="楷体_GB2312"/>
          <w:noProof/>
        </w:rPr>
      </w:pPr>
      <w:r w:rsidRPr="00AB08B9">
        <w:rPr>
          <w:rFonts w:ascii="楷体_GB2312" w:eastAsia="楷体_GB2312" w:hint="eastAsia"/>
          <w:noProof/>
        </w:rPr>
        <w:t>201</w:t>
      </w:r>
      <w:r w:rsidR="00916D6D">
        <w:rPr>
          <w:rFonts w:ascii="楷体_GB2312" w:eastAsia="楷体_GB2312" w:hint="eastAsia"/>
          <w:noProof/>
        </w:rPr>
        <w:t>4</w:t>
      </w:r>
      <w:r w:rsidRPr="00AB08B9">
        <w:rPr>
          <w:rFonts w:ascii="楷体_GB2312" w:eastAsia="楷体_GB2312" w:hint="eastAsia"/>
          <w:noProof/>
        </w:rPr>
        <w:t>年</w:t>
      </w:r>
      <w:r w:rsidR="00083D28">
        <w:rPr>
          <w:rFonts w:ascii="楷体_GB2312" w:eastAsia="楷体_GB2312" w:hint="eastAsia"/>
          <w:noProof/>
        </w:rPr>
        <w:t>3</w:t>
      </w:r>
      <w:r w:rsidRPr="00AB08B9">
        <w:rPr>
          <w:rFonts w:ascii="楷体_GB2312" w:eastAsia="楷体_GB2312" w:hint="eastAsia"/>
          <w:noProof/>
        </w:rPr>
        <w:t>月，上海证券积极型、平衡型、稳健型组合</w:t>
      </w:r>
      <w:r w:rsidR="00956F75">
        <w:rPr>
          <w:rFonts w:ascii="楷体_GB2312" w:eastAsia="楷体_GB2312" w:hint="eastAsia"/>
          <w:noProof/>
        </w:rPr>
        <w:t>分别实现收益</w:t>
      </w:r>
      <w:r w:rsidR="00083D28" w:rsidRPr="00083D28">
        <w:rPr>
          <w:rFonts w:ascii="楷体_GB2312" w:eastAsia="楷体_GB2312"/>
          <w:noProof/>
        </w:rPr>
        <w:t>-</w:t>
      </w:r>
      <w:r w:rsidR="006C364B">
        <w:rPr>
          <w:rFonts w:ascii="楷体_GB2312" w:eastAsia="楷体_GB2312" w:hint="eastAsia"/>
          <w:noProof/>
        </w:rPr>
        <w:t>2</w:t>
      </w:r>
      <w:r w:rsidR="00083D28" w:rsidRPr="00083D28">
        <w:rPr>
          <w:rFonts w:ascii="楷体_GB2312" w:eastAsia="楷体_GB2312"/>
          <w:noProof/>
        </w:rPr>
        <w:t>.8</w:t>
      </w:r>
      <w:r w:rsidR="006C364B">
        <w:rPr>
          <w:rFonts w:ascii="楷体_GB2312" w:eastAsia="楷体_GB2312" w:hint="eastAsia"/>
          <w:noProof/>
        </w:rPr>
        <w:t>2</w:t>
      </w:r>
      <w:r w:rsidR="00083D28" w:rsidRPr="00083D28">
        <w:rPr>
          <w:rFonts w:ascii="楷体_GB2312" w:eastAsia="楷体_GB2312"/>
          <w:noProof/>
        </w:rPr>
        <w:t>%</w:t>
      </w:r>
      <w:r w:rsidR="00083D28">
        <w:rPr>
          <w:rFonts w:ascii="楷体_GB2312" w:eastAsia="楷体_GB2312" w:hint="eastAsia"/>
          <w:noProof/>
        </w:rPr>
        <w:t>、</w:t>
      </w:r>
      <w:r w:rsidR="00083D28" w:rsidRPr="00083D28">
        <w:rPr>
          <w:rFonts w:ascii="楷体_GB2312" w:eastAsia="楷体_GB2312"/>
          <w:noProof/>
        </w:rPr>
        <w:t>0.54%</w:t>
      </w:r>
      <w:r w:rsidR="00083D28">
        <w:rPr>
          <w:rFonts w:ascii="楷体_GB2312" w:eastAsia="楷体_GB2312" w:hint="eastAsia"/>
          <w:noProof/>
        </w:rPr>
        <w:t>、</w:t>
      </w:r>
      <w:r w:rsidR="00083D28" w:rsidRPr="00083D28">
        <w:rPr>
          <w:rFonts w:ascii="楷体_GB2312" w:eastAsia="楷体_GB2312"/>
          <w:noProof/>
        </w:rPr>
        <w:t>0.42%</w:t>
      </w:r>
      <w:r w:rsidRPr="00AB08B9">
        <w:rPr>
          <w:rFonts w:ascii="楷体_GB2312" w:eastAsia="楷体_GB2312" w:hint="eastAsia"/>
          <w:noProof/>
        </w:rPr>
        <w:t>，</w:t>
      </w:r>
      <w:r w:rsidR="00083D28">
        <w:rPr>
          <w:rFonts w:ascii="楷体_GB2312" w:eastAsia="楷体_GB2312" w:hint="eastAsia"/>
          <w:noProof/>
        </w:rPr>
        <w:t>全线超越业绩比较基准，其中平衡型组合表现尤为出色，大幅超越基准3</w:t>
      </w:r>
      <w:r w:rsidR="008376E2">
        <w:rPr>
          <w:rFonts w:ascii="楷体_GB2312" w:eastAsia="楷体_GB2312" w:hint="eastAsia"/>
          <w:noProof/>
        </w:rPr>
        <w:t>.</w:t>
      </w:r>
      <w:r w:rsidR="007F6739">
        <w:rPr>
          <w:rFonts w:ascii="楷体_GB2312" w:eastAsia="楷体_GB2312" w:hint="eastAsia"/>
          <w:noProof/>
        </w:rPr>
        <w:t>0</w:t>
      </w:r>
      <w:r w:rsidR="008376E2">
        <w:rPr>
          <w:rFonts w:ascii="楷体_GB2312" w:eastAsia="楷体_GB2312" w:hint="eastAsia"/>
          <w:noProof/>
        </w:rPr>
        <w:t>3</w:t>
      </w:r>
      <w:r w:rsidR="00083D28">
        <w:rPr>
          <w:rFonts w:ascii="楷体_GB2312" w:eastAsia="楷体_GB2312" w:hint="eastAsia"/>
          <w:noProof/>
        </w:rPr>
        <w:t>个百分点</w:t>
      </w:r>
      <w:r w:rsidRPr="00AB08B9">
        <w:rPr>
          <w:rFonts w:ascii="楷体_GB2312" w:eastAsia="楷体_GB2312" w:hint="eastAsia"/>
          <w:noProof/>
        </w:rPr>
        <w:t>。</w:t>
      </w:r>
    </w:p>
    <w:p w:rsidR="008E0A57" w:rsidRPr="00144B03" w:rsidRDefault="008E0A57" w:rsidP="00144B03">
      <w:pPr>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表3 组合业绩回顾</w:t>
      </w:r>
    </w:p>
    <w:tbl>
      <w:tblPr>
        <w:tblW w:w="5000" w:type="pct"/>
        <w:tblLook w:val="04A0"/>
      </w:tblPr>
      <w:tblGrid>
        <w:gridCol w:w="1366"/>
        <w:gridCol w:w="1366"/>
        <w:gridCol w:w="1367"/>
        <w:gridCol w:w="1369"/>
        <w:gridCol w:w="1367"/>
        <w:gridCol w:w="1367"/>
        <w:gridCol w:w="1369"/>
      </w:tblGrid>
      <w:tr w:rsidR="008E0A57" w:rsidRPr="00BD1E88" w:rsidTr="008E0A57">
        <w:trPr>
          <w:trHeight w:val="285"/>
        </w:trPr>
        <w:tc>
          <w:tcPr>
            <w:tcW w:w="714" w:type="pct"/>
            <w:vMerge w:val="restart"/>
            <w:tcBorders>
              <w:top w:val="single" w:sz="8" w:space="0" w:color="auto"/>
              <w:left w:val="single" w:sz="8" w:space="0" w:color="auto"/>
              <w:bottom w:val="single" w:sz="8" w:space="0" w:color="000000"/>
              <w:right w:val="single" w:sz="8" w:space="0" w:color="auto"/>
            </w:tcBorders>
            <w:shd w:val="clear" w:color="000000" w:fill="666699"/>
            <w:noWrap/>
            <w:vAlign w:val="bottom"/>
            <w:hideMark/>
          </w:tcPr>
          <w:p w:rsidR="008E0A57" w:rsidRPr="00BD1E88" w:rsidRDefault="008E0A57" w:rsidP="00265082">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组合类型</w:t>
            </w:r>
          </w:p>
        </w:tc>
        <w:tc>
          <w:tcPr>
            <w:tcW w:w="2143" w:type="pct"/>
            <w:gridSpan w:val="3"/>
            <w:tcBorders>
              <w:top w:val="nil"/>
              <w:left w:val="nil"/>
              <w:bottom w:val="nil"/>
              <w:right w:val="single" w:sz="8" w:space="0" w:color="000000"/>
            </w:tcBorders>
            <w:shd w:val="clear" w:color="000000" w:fill="666699"/>
            <w:noWrap/>
            <w:vAlign w:val="bottom"/>
            <w:hideMark/>
          </w:tcPr>
          <w:p w:rsidR="008E0A57" w:rsidRPr="00BD1E88" w:rsidRDefault="008E0A57" w:rsidP="00677B64">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201</w:t>
            </w:r>
            <w:r w:rsidR="00146588">
              <w:rPr>
                <w:rFonts w:ascii="楷体_GB2312" w:eastAsia="楷体_GB2312" w:hAnsi="宋体" w:cs="宋体" w:hint="eastAsia"/>
                <w:b/>
                <w:bCs/>
                <w:color w:val="FFFFFF"/>
                <w:kern w:val="0"/>
                <w:szCs w:val="21"/>
              </w:rPr>
              <w:t>4</w:t>
            </w:r>
            <w:r w:rsidRPr="00BD1E88">
              <w:rPr>
                <w:rFonts w:ascii="楷体_GB2312" w:eastAsia="楷体_GB2312" w:hAnsi="宋体" w:cs="宋体" w:hint="eastAsia"/>
                <w:b/>
                <w:bCs/>
                <w:color w:val="FFFFFF"/>
                <w:kern w:val="0"/>
                <w:szCs w:val="21"/>
              </w:rPr>
              <w:t>年</w:t>
            </w:r>
            <w:r w:rsidR="00677B64">
              <w:rPr>
                <w:rFonts w:ascii="楷体_GB2312" w:eastAsia="楷体_GB2312" w:hAnsi="宋体" w:cs="宋体" w:hint="eastAsia"/>
                <w:b/>
                <w:bCs/>
                <w:color w:val="FFFFFF"/>
                <w:kern w:val="0"/>
                <w:szCs w:val="21"/>
              </w:rPr>
              <w:t>2</w:t>
            </w:r>
            <w:r w:rsidRPr="00BD1E88">
              <w:rPr>
                <w:rFonts w:ascii="楷体_GB2312" w:eastAsia="楷体_GB2312" w:hAnsi="宋体" w:cs="宋体" w:hint="eastAsia"/>
                <w:b/>
                <w:bCs/>
                <w:color w:val="FFFFFF"/>
                <w:kern w:val="0"/>
                <w:szCs w:val="21"/>
              </w:rPr>
              <w:t>月</w:t>
            </w:r>
          </w:p>
        </w:tc>
        <w:tc>
          <w:tcPr>
            <w:tcW w:w="2143" w:type="pct"/>
            <w:gridSpan w:val="3"/>
            <w:tcBorders>
              <w:top w:val="nil"/>
              <w:left w:val="nil"/>
              <w:bottom w:val="nil"/>
              <w:right w:val="nil"/>
            </w:tcBorders>
            <w:shd w:val="clear" w:color="000000" w:fill="666699"/>
            <w:noWrap/>
            <w:vAlign w:val="bottom"/>
            <w:hideMark/>
          </w:tcPr>
          <w:p w:rsidR="008E0A57" w:rsidRPr="00BD1E88" w:rsidRDefault="008E0A57" w:rsidP="00265082">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组合设立以来</w:t>
            </w:r>
          </w:p>
        </w:tc>
      </w:tr>
      <w:tr w:rsidR="008E0A57" w:rsidRPr="00BD1E88" w:rsidTr="00195F1F">
        <w:trPr>
          <w:trHeight w:val="300"/>
        </w:trPr>
        <w:tc>
          <w:tcPr>
            <w:tcW w:w="714" w:type="pct"/>
            <w:vMerge/>
            <w:tcBorders>
              <w:top w:val="single" w:sz="8" w:space="0" w:color="auto"/>
              <w:left w:val="single" w:sz="8" w:space="0" w:color="auto"/>
              <w:bottom w:val="single" w:sz="8" w:space="0" w:color="000000"/>
              <w:right w:val="single" w:sz="8" w:space="0" w:color="auto"/>
            </w:tcBorders>
            <w:vAlign w:val="center"/>
            <w:hideMark/>
          </w:tcPr>
          <w:p w:rsidR="008E0A57" w:rsidRPr="00BD1E88" w:rsidRDefault="008E0A57" w:rsidP="00265082">
            <w:pPr>
              <w:widowControl/>
              <w:jc w:val="left"/>
              <w:rPr>
                <w:rFonts w:ascii="楷体_GB2312" w:eastAsia="楷体_GB2312" w:hAnsi="宋体" w:cs="宋体"/>
                <w:b/>
                <w:bCs/>
                <w:color w:val="FFFFFF"/>
                <w:kern w:val="0"/>
                <w:szCs w:val="21"/>
              </w:rPr>
            </w:pP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8E0A57" w:rsidRPr="00BD1E88" w:rsidRDefault="008E0A57"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r>
      <w:tr w:rsidR="007F6739" w:rsidRPr="00BD1E88" w:rsidTr="00CD5E6C">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7F6739" w:rsidRPr="00BD1E88" w:rsidRDefault="007F6739"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积极型</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FF0000"/>
              </w:rPr>
              <w:t>-2.82%</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FF0000"/>
              </w:rPr>
              <w:t>-4.78%</w:t>
            </w:r>
          </w:p>
        </w:tc>
        <w:tc>
          <w:tcPr>
            <w:tcW w:w="715" w:type="pct"/>
            <w:tcBorders>
              <w:top w:val="nil"/>
              <w:left w:val="nil"/>
              <w:bottom w:val="single" w:sz="8" w:space="0" w:color="auto"/>
              <w:right w:val="single" w:sz="8" w:space="0" w:color="auto"/>
            </w:tcBorders>
            <w:shd w:val="clear" w:color="auto" w:fill="auto"/>
            <w:noWrap/>
            <w:hideMark/>
          </w:tcPr>
          <w:p w:rsidR="007F6739" w:rsidRPr="007F6739" w:rsidRDefault="007F6739">
            <w:pPr>
              <w:jc w:val="center"/>
              <w:rPr>
                <w:b/>
                <w:color w:val="0D0D0D"/>
                <w:szCs w:val="21"/>
              </w:rPr>
            </w:pPr>
            <w:r w:rsidRPr="007F6739">
              <w:rPr>
                <w:b/>
                <w:color w:val="0D0D0D"/>
                <w:szCs w:val="21"/>
              </w:rPr>
              <w:t>1.95%</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15.33%</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FF0000"/>
              </w:rPr>
              <w:t>-7.60%</w:t>
            </w:r>
          </w:p>
        </w:tc>
        <w:tc>
          <w:tcPr>
            <w:tcW w:w="715" w:type="pct"/>
            <w:tcBorders>
              <w:top w:val="nil"/>
              <w:left w:val="nil"/>
              <w:bottom w:val="single" w:sz="8" w:space="0" w:color="auto"/>
              <w:right w:val="single" w:sz="8" w:space="0" w:color="auto"/>
            </w:tcBorders>
            <w:shd w:val="clear" w:color="auto" w:fill="auto"/>
            <w:noWrap/>
            <w:hideMark/>
          </w:tcPr>
          <w:p w:rsidR="007F6739" w:rsidRPr="007F6739" w:rsidRDefault="007F6739">
            <w:pPr>
              <w:jc w:val="center"/>
              <w:rPr>
                <w:b/>
                <w:color w:val="0D0D0D"/>
                <w:szCs w:val="21"/>
              </w:rPr>
            </w:pPr>
            <w:r w:rsidRPr="007F6739">
              <w:rPr>
                <w:b/>
                <w:color w:val="0D0D0D"/>
                <w:szCs w:val="21"/>
              </w:rPr>
              <w:t>22.94%</w:t>
            </w:r>
          </w:p>
        </w:tc>
      </w:tr>
      <w:tr w:rsidR="007F6739" w:rsidRPr="00BD1E88" w:rsidTr="00195F1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7F6739" w:rsidRPr="00BD1E88" w:rsidRDefault="007F6739"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平衡型</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0.54%</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FF0000"/>
              </w:rPr>
              <w:t>-2.49%</w:t>
            </w:r>
          </w:p>
        </w:tc>
        <w:tc>
          <w:tcPr>
            <w:tcW w:w="715" w:type="pct"/>
            <w:tcBorders>
              <w:top w:val="nil"/>
              <w:left w:val="nil"/>
              <w:bottom w:val="single" w:sz="8" w:space="0" w:color="auto"/>
              <w:right w:val="single" w:sz="8" w:space="0" w:color="auto"/>
            </w:tcBorders>
            <w:shd w:val="clear" w:color="auto" w:fill="auto"/>
            <w:noWrap/>
            <w:hideMark/>
          </w:tcPr>
          <w:p w:rsidR="007F6739" w:rsidRPr="007F6739" w:rsidRDefault="007F6739">
            <w:pPr>
              <w:jc w:val="center"/>
              <w:rPr>
                <w:b/>
                <w:color w:val="0D0D0D"/>
                <w:szCs w:val="21"/>
              </w:rPr>
            </w:pPr>
            <w:r w:rsidRPr="007F6739">
              <w:rPr>
                <w:b/>
                <w:color w:val="0D0D0D"/>
                <w:szCs w:val="21"/>
              </w:rPr>
              <w:t>3.03%</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14.77%</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1.36%</w:t>
            </w:r>
          </w:p>
        </w:tc>
        <w:tc>
          <w:tcPr>
            <w:tcW w:w="715" w:type="pct"/>
            <w:tcBorders>
              <w:top w:val="nil"/>
              <w:left w:val="nil"/>
              <w:bottom w:val="single" w:sz="8" w:space="0" w:color="auto"/>
              <w:right w:val="single" w:sz="8" w:space="0" w:color="auto"/>
            </w:tcBorders>
            <w:shd w:val="clear" w:color="auto" w:fill="auto"/>
            <w:noWrap/>
            <w:hideMark/>
          </w:tcPr>
          <w:p w:rsidR="007F6739" w:rsidRPr="007F6739" w:rsidRDefault="007F6739">
            <w:pPr>
              <w:jc w:val="center"/>
              <w:rPr>
                <w:b/>
                <w:color w:val="0D0D0D"/>
                <w:szCs w:val="21"/>
              </w:rPr>
            </w:pPr>
            <w:r w:rsidRPr="007F6739">
              <w:rPr>
                <w:b/>
                <w:color w:val="0D0D0D"/>
                <w:szCs w:val="21"/>
              </w:rPr>
              <w:t>13.41%</w:t>
            </w:r>
          </w:p>
        </w:tc>
      </w:tr>
      <w:tr w:rsidR="007F6739" w:rsidRPr="00BD1E88" w:rsidTr="00CD5E6C">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7F6739" w:rsidRPr="00BD1E88" w:rsidRDefault="007F6739"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稳健型</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0.42%</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0.26%</w:t>
            </w:r>
          </w:p>
        </w:tc>
        <w:tc>
          <w:tcPr>
            <w:tcW w:w="715" w:type="pct"/>
            <w:tcBorders>
              <w:top w:val="nil"/>
              <w:left w:val="nil"/>
              <w:bottom w:val="single" w:sz="8" w:space="0" w:color="auto"/>
              <w:right w:val="single" w:sz="8" w:space="0" w:color="auto"/>
            </w:tcBorders>
            <w:shd w:val="clear" w:color="auto" w:fill="auto"/>
            <w:noWrap/>
            <w:hideMark/>
          </w:tcPr>
          <w:p w:rsidR="007F6739" w:rsidRPr="007F6739" w:rsidRDefault="007F6739">
            <w:pPr>
              <w:jc w:val="center"/>
              <w:rPr>
                <w:b/>
                <w:color w:val="0D0D0D"/>
                <w:szCs w:val="21"/>
              </w:rPr>
            </w:pPr>
            <w:r w:rsidRPr="007F6739">
              <w:rPr>
                <w:b/>
                <w:color w:val="0D0D0D"/>
                <w:szCs w:val="21"/>
              </w:rPr>
              <w:t>0.16%</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12.81%</w:t>
            </w:r>
          </w:p>
        </w:tc>
        <w:tc>
          <w:tcPr>
            <w:tcW w:w="714" w:type="pct"/>
            <w:tcBorders>
              <w:top w:val="nil"/>
              <w:left w:val="nil"/>
              <w:bottom w:val="single" w:sz="8" w:space="0" w:color="auto"/>
              <w:right w:val="single" w:sz="8" w:space="0" w:color="auto"/>
            </w:tcBorders>
            <w:shd w:val="clear" w:color="auto" w:fill="auto"/>
            <w:noWrap/>
            <w:vAlign w:val="bottom"/>
            <w:hideMark/>
          </w:tcPr>
          <w:p w:rsidR="007F6739" w:rsidRDefault="007F6739">
            <w:pPr>
              <w:jc w:val="right"/>
              <w:rPr>
                <w:rFonts w:ascii="宋体" w:hAnsi="宋体" w:cs="宋体"/>
                <w:color w:val="0D0D0D"/>
                <w:sz w:val="24"/>
              </w:rPr>
            </w:pPr>
            <w:r>
              <w:rPr>
                <w:rFonts w:hint="eastAsia"/>
                <w:color w:val="0D0D0D"/>
              </w:rPr>
              <w:t>10.49%</w:t>
            </w:r>
          </w:p>
        </w:tc>
        <w:tc>
          <w:tcPr>
            <w:tcW w:w="715" w:type="pct"/>
            <w:tcBorders>
              <w:top w:val="nil"/>
              <w:left w:val="nil"/>
              <w:bottom w:val="single" w:sz="8" w:space="0" w:color="auto"/>
              <w:right w:val="single" w:sz="8" w:space="0" w:color="auto"/>
            </w:tcBorders>
            <w:shd w:val="clear" w:color="auto" w:fill="auto"/>
            <w:noWrap/>
            <w:hideMark/>
          </w:tcPr>
          <w:p w:rsidR="007F6739" w:rsidRPr="007F6739" w:rsidRDefault="007F6739">
            <w:pPr>
              <w:jc w:val="center"/>
              <w:rPr>
                <w:b/>
                <w:color w:val="0D0D0D"/>
                <w:szCs w:val="21"/>
              </w:rPr>
            </w:pPr>
            <w:r w:rsidRPr="007F6739">
              <w:rPr>
                <w:b/>
                <w:color w:val="0D0D0D"/>
                <w:szCs w:val="21"/>
              </w:rPr>
              <w:t>2.32%</w:t>
            </w:r>
          </w:p>
        </w:tc>
      </w:tr>
      <w:tr w:rsidR="0092248F" w:rsidRPr="00BD1E88" w:rsidTr="008E0A57">
        <w:trPr>
          <w:trHeight w:val="285"/>
        </w:trPr>
        <w:tc>
          <w:tcPr>
            <w:tcW w:w="714" w:type="pct"/>
            <w:vMerge w:val="restart"/>
            <w:tcBorders>
              <w:top w:val="nil"/>
              <w:left w:val="single" w:sz="8" w:space="0" w:color="auto"/>
              <w:bottom w:val="single" w:sz="8" w:space="0" w:color="000000"/>
              <w:right w:val="single" w:sz="8" w:space="0" w:color="auto"/>
            </w:tcBorders>
            <w:shd w:val="clear" w:color="000000" w:fill="666699"/>
            <w:noWrap/>
            <w:vAlign w:val="bottom"/>
            <w:hideMark/>
          </w:tcPr>
          <w:p w:rsidR="0092248F" w:rsidRPr="00BD1E88" w:rsidRDefault="0092248F" w:rsidP="00265082">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组合类型</w:t>
            </w:r>
          </w:p>
        </w:tc>
        <w:tc>
          <w:tcPr>
            <w:tcW w:w="2143" w:type="pct"/>
            <w:gridSpan w:val="3"/>
            <w:tcBorders>
              <w:top w:val="nil"/>
              <w:left w:val="nil"/>
              <w:bottom w:val="nil"/>
              <w:right w:val="single" w:sz="8" w:space="0" w:color="000000"/>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Pr>
                <w:rFonts w:ascii="楷体_GB2312" w:eastAsia="楷体_GB2312" w:hAnsi="宋体" w:cs="宋体" w:hint="eastAsia"/>
                <w:b/>
                <w:bCs/>
                <w:color w:val="FFFFFF"/>
                <w:kern w:val="0"/>
                <w:szCs w:val="21"/>
              </w:rPr>
              <w:t>2013年全年</w:t>
            </w:r>
          </w:p>
        </w:tc>
        <w:tc>
          <w:tcPr>
            <w:tcW w:w="2143" w:type="pct"/>
            <w:gridSpan w:val="3"/>
            <w:tcBorders>
              <w:top w:val="nil"/>
              <w:left w:val="nil"/>
              <w:bottom w:val="nil"/>
              <w:right w:val="nil"/>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2012年全年</w:t>
            </w:r>
          </w:p>
        </w:tc>
      </w:tr>
      <w:tr w:rsidR="00F04A01" w:rsidRPr="00BD1E88" w:rsidTr="00195F1F">
        <w:trPr>
          <w:trHeight w:val="300"/>
        </w:trPr>
        <w:tc>
          <w:tcPr>
            <w:tcW w:w="714" w:type="pct"/>
            <w:vMerge/>
            <w:tcBorders>
              <w:top w:val="nil"/>
              <w:left w:val="single" w:sz="8" w:space="0" w:color="auto"/>
              <w:bottom w:val="single" w:sz="8" w:space="0" w:color="000000"/>
              <w:right w:val="single" w:sz="8" w:space="0" w:color="auto"/>
            </w:tcBorders>
            <w:vAlign w:val="center"/>
            <w:hideMark/>
          </w:tcPr>
          <w:p w:rsidR="00F04A01" w:rsidRPr="00BD1E88" w:rsidRDefault="00F04A01" w:rsidP="00265082">
            <w:pPr>
              <w:widowControl/>
              <w:jc w:val="left"/>
              <w:rPr>
                <w:rFonts w:ascii="楷体_GB2312" w:eastAsia="楷体_GB2312" w:hAnsi="宋体" w:cs="宋体"/>
                <w:b/>
                <w:bCs/>
                <w:color w:val="FFFFFF"/>
                <w:kern w:val="0"/>
                <w:szCs w:val="21"/>
              </w:rPr>
            </w:pP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7C7F3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7C7F3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F04A01" w:rsidRPr="00BD1E88" w:rsidRDefault="00F04A01" w:rsidP="007C7F3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F04A01" w:rsidRPr="00BD1E88" w:rsidRDefault="00F04A01"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F04A01" w:rsidRPr="00BD1E88" w:rsidRDefault="00F04A01" w:rsidP="00265082">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r>
      <w:tr w:rsidR="0092248F" w:rsidRPr="00BD1E88" w:rsidTr="00254CD8">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积极型</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30.22%</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12.99%</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62623C" w:rsidRDefault="0092248F" w:rsidP="00254CD8">
            <w:pPr>
              <w:jc w:val="right"/>
              <w:rPr>
                <w:rFonts w:ascii="宋体" w:hAnsi="宋体" w:cs="宋体"/>
                <w:b/>
                <w:color w:val="0D0D0D"/>
                <w:sz w:val="24"/>
              </w:rPr>
            </w:pPr>
            <w:r w:rsidRPr="0062623C">
              <w:rPr>
                <w:rFonts w:hint="eastAsia"/>
                <w:b/>
                <w:color w:val="0D0D0D"/>
              </w:rPr>
              <w:t>15.93%</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7.57%</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4.95%</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r w:rsidRPr="007E4F1C">
              <w:rPr>
                <w:rFonts w:hint="eastAsia"/>
                <w:b/>
                <w:i/>
                <w:color w:val="0D0D0D"/>
                <w:szCs w:val="21"/>
              </w:rPr>
              <w:t>2.43%</w:t>
            </w:r>
          </w:p>
        </w:tc>
      </w:tr>
      <w:tr w:rsidR="0092248F" w:rsidRPr="00BD1E88"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平衡型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9.98%</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8.27%</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62623C" w:rsidRDefault="0092248F" w:rsidP="00254CD8">
            <w:pPr>
              <w:jc w:val="right"/>
              <w:rPr>
                <w:rFonts w:ascii="宋体" w:hAnsi="宋体" w:cs="宋体"/>
                <w:b/>
                <w:color w:val="0D0D0D"/>
                <w:sz w:val="24"/>
              </w:rPr>
            </w:pPr>
            <w:r w:rsidRPr="0062623C">
              <w:rPr>
                <w:rFonts w:hint="eastAsia"/>
                <w:b/>
                <w:color w:val="0D0D0D"/>
              </w:rPr>
              <w:t>1.49%</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11.89%</w:t>
            </w:r>
          </w:p>
        </w:tc>
        <w:tc>
          <w:tcPr>
            <w:tcW w:w="714"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6.28%</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r w:rsidRPr="007E4F1C">
              <w:rPr>
                <w:rFonts w:hint="eastAsia"/>
                <w:b/>
                <w:i/>
                <w:color w:val="0D0D0D"/>
                <w:szCs w:val="21"/>
              </w:rPr>
              <w:t>5.19%</w:t>
            </w:r>
          </w:p>
        </w:tc>
      </w:tr>
      <w:tr w:rsidR="0092248F" w:rsidRPr="00BD1E88"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65082">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稳健型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2.96%</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Default="0092248F" w:rsidP="00254CD8">
            <w:pPr>
              <w:jc w:val="right"/>
              <w:rPr>
                <w:rFonts w:ascii="宋体" w:hAnsi="宋体" w:cs="宋体"/>
                <w:color w:val="0D0D0D"/>
                <w:sz w:val="24"/>
              </w:rPr>
            </w:pPr>
            <w:r>
              <w:rPr>
                <w:rFonts w:hint="eastAsia"/>
                <w:color w:val="0D0D0D"/>
              </w:rPr>
              <w:t>3.08%</w:t>
            </w:r>
          </w:p>
        </w:tc>
        <w:tc>
          <w:tcPr>
            <w:tcW w:w="715" w:type="pct"/>
            <w:tcBorders>
              <w:top w:val="nil"/>
              <w:left w:val="nil"/>
              <w:bottom w:val="single" w:sz="8" w:space="0" w:color="auto"/>
              <w:right w:val="single" w:sz="8" w:space="0" w:color="auto"/>
            </w:tcBorders>
            <w:shd w:val="clear" w:color="auto" w:fill="auto"/>
            <w:noWrap/>
            <w:vAlign w:val="bottom"/>
            <w:hideMark/>
          </w:tcPr>
          <w:p w:rsidR="0092248F" w:rsidRPr="0062623C" w:rsidRDefault="0092248F" w:rsidP="00254CD8">
            <w:pPr>
              <w:jc w:val="right"/>
              <w:rPr>
                <w:rFonts w:ascii="宋体" w:hAnsi="宋体" w:cs="宋体"/>
                <w:b/>
                <w:color w:val="0D0D0D"/>
                <w:sz w:val="24"/>
              </w:rPr>
            </w:pPr>
            <w:r w:rsidRPr="0062623C">
              <w:rPr>
                <w:rFonts w:hint="eastAsia"/>
                <w:b/>
                <w:color w:val="FF0000"/>
              </w:rPr>
              <w:t>-0.12%</w:t>
            </w:r>
          </w:p>
        </w:tc>
        <w:tc>
          <w:tcPr>
            <w:tcW w:w="714" w:type="pct"/>
            <w:tcBorders>
              <w:top w:val="single" w:sz="8" w:space="0" w:color="auto"/>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4.70%</w:t>
            </w:r>
          </w:p>
        </w:tc>
        <w:tc>
          <w:tcPr>
            <w:tcW w:w="714" w:type="pct"/>
            <w:tcBorders>
              <w:top w:val="single" w:sz="8" w:space="0" w:color="auto"/>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3.34%</w:t>
            </w:r>
          </w:p>
        </w:tc>
        <w:tc>
          <w:tcPr>
            <w:tcW w:w="715" w:type="pct"/>
            <w:tcBorders>
              <w:top w:val="single" w:sz="8" w:space="0" w:color="auto"/>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r w:rsidRPr="007E4F1C">
              <w:rPr>
                <w:rFonts w:hint="eastAsia"/>
                <w:b/>
                <w:i/>
                <w:color w:val="0D0D0D"/>
                <w:szCs w:val="21"/>
              </w:rPr>
              <w:t>1.32%</w:t>
            </w:r>
          </w:p>
        </w:tc>
      </w:tr>
      <w:tr w:rsidR="0092248F" w:rsidRPr="00BD1E88" w:rsidTr="0092248F">
        <w:trPr>
          <w:trHeight w:val="285"/>
        </w:trPr>
        <w:tc>
          <w:tcPr>
            <w:tcW w:w="714" w:type="pct"/>
            <w:vMerge w:val="restart"/>
            <w:tcBorders>
              <w:top w:val="nil"/>
              <w:left w:val="single" w:sz="8" w:space="0" w:color="auto"/>
              <w:bottom w:val="single" w:sz="8" w:space="0" w:color="000000"/>
              <w:right w:val="single" w:sz="8" w:space="0" w:color="auto"/>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组合类型</w:t>
            </w:r>
          </w:p>
        </w:tc>
        <w:tc>
          <w:tcPr>
            <w:tcW w:w="2143" w:type="pct"/>
            <w:gridSpan w:val="3"/>
            <w:tcBorders>
              <w:top w:val="nil"/>
              <w:left w:val="nil"/>
              <w:bottom w:val="nil"/>
              <w:right w:val="single" w:sz="8" w:space="0" w:color="auto"/>
            </w:tcBorders>
            <w:shd w:val="clear" w:color="000000" w:fill="666699"/>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r w:rsidRPr="00BD1E88">
              <w:rPr>
                <w:rFonts w:ascii="楷体_GB2312" w:eastAsia="楷体_GB2312" w:hAnsi="宋体" w:cs="宋体" w:hint="eastAsia"/>
                <w:b/>
                <w:bCs/>
                <w:color w:val="FFFFFF"/>
                <w:kern w:val="0"/>
                <w:szCs w:val="21"/>
              </w:rPr>
              <w:t>2011年2月至2011年1</w:t>
            </w:r>
            <w:r>
              <w:rPr>
                <w:rFonts w:ascii="楷体_GB2312" w:eastAsia="楷体_GB2312" w:hAnsi="宋体" w:cs="宋体" w:hint="eastAsia"/>
                <w:b/>
                <w:bCs/>
                <w:color w:val="FFFFFF"/>
                <w:kern w:val="0"/>
                <w:szCs w:val="21"/>
              </w:rPr>
              <w:t>2</w:t>
            </w:r>
            <w:r w:rsidRPr="00BD1E88">
              <w:rPr>
                <w:rFonts w:ascii="楷体_GB2312" w:eastAsia="楷体_GB2312" w:hAnsi="宋体" w:cs="宋体" w:hint="eastAsia"/>
                <w:b/>
                <w:bCs/>
                <w:color w:val="FFFFFF"/>
                <w:kern w:val="0"/>
                <w:szCs w:val="21"/>
              </w:rPr>
              <w:t>月</w:t>
            </w:r>
          </w:p>
        </w:tc>
        <w:tc>
          <w:tcPr>
            <w:tcW w:w="2143" w:type="pct"/>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248F" w:rsidRPr="00BD1E88" w:rsidRDefault="0092248F" w:rsidP="00254CD8">
            <w:pPr>
              <w:widowControl/>
              <w:jc w:val="center"/>
              <w:rPr>
                <w:rFonts w:ascii="楷体_GB2312" w:eastAsia="楷体_GB2312" w:hAnsi="宋体" w:cs="宋体"/>
                <w:b/>
                <w:bCs/>
                <w:color w:val="FFFFFF"/>
                <w:kern w:val="0"/>
                <w:szCs w:val="21"/>
              </w:rPr>
            </w:pPr>
          </w:p>
        </w:tc>
      </w:tr>
      <w:tr w:rsidR="0092248F" w:rsidRPr="00BD1E88" w:rsidTr="0092248F">
        <w:trPr>
          <w:trHeight w:val="300"/>
        </w:trPr>
        <w:tc>
          <w:tcPr>
            <w:tcW w:w="714" w:type="pct"/>
            <w:vMerge/>
            <w:tcBorders>
              <w:top w:val="nil"/>
              <w:left w:val="single" w:sz="8" w:space="0" w:color="auto"/>
              <w:bottom w:val="single" w:sz="8" w:space="0" w:color="000000"/>
              <w:right w:val="single" w:sz="8" w:space="0" w:color="auto"/>
            </w:tcBorders>
            <w:vAlign w:val="center"/>
            <w:hideMark/>
          </w:tcPr>
          <w:p w:rsidR="0092248F" w:rsidRPr="00BD1E88" w:rsidRDefault="0092248F" w:rsidP="00254CD8">
            <w:pPr>
              <w:widowControl/>
              <w:jc w:val="left"/>
              <w:rPr>
                <w:rFonts w:ascii="楷体_GB2312" w:eastAsia="楷体_GB2312" w:hAnsi="宋体" w:cs="宋体"/>
                <w:b/>
                <w:bCs/>
                <w:color w:val="FFFFFF"/>
                <w:kern w:val="0"/>
                <w:szCs w:val="21"/>
              </w:rPr>
            </w:pPr>
          </w:p>
        </w:tc>
        <w:tc>
          <w:tcPr>
            <w:tcW w:w="714" w:type="pct"/>
            <w:tcBorders>
              <w:top w:val="nil"/>
              <w:left w:val="nil"/>
              <w:bottom w:val="single" w:sz="8" w:space="0" w:color="auto"/>
              <w:right w:val="single" w:sz="8" w:space="0" w:color="auto"/>
            </w:tcBorders>
            <w:shd w:val="clear" w:color="000000" w:fill="FFCC00"/>
            <w:noWrap/>
            <w:hideMark/>
          </w:tcPr>
          <w:p w:rsidR="0092248F" w:rsidRPr="00BD1E88" w:rsidRDefault="0092248F" w:rsidP="00254CD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组合业绩</w:t>
            </w:r>
          </w:p>
        </w:tc>
        <w:tc>
          <w:tcPr>
            <w:tcW w:w="714" w:type="pct"/>
            <w:tcBorders>
              <w:top w:val="nil"/>
              <w:left w:val="nil"/>
              <w:bottom w:val="single" w:sz="8" w:space="0" w:color="auto"/>
              <w:right w:val="single" w:sz="8" w:space="0" w:color="auto"/>
            </w:tcBorders>
            <w:shd w:val="clear" w:color="000000" w:fill="FFCC00"/>
            <w:noWrap/>
            <w:hideMark/>
          </w:tcPr>
          <w:p w:rsidR="0092248F" w:rsidRPr="00BD1E88" w:rsidRDefault="0092248F" w:rsidP="00254CD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基准业绩</w:t>
            </w:r>
          </w:p>
        </w:tc>
        <w:tc>
          <w:tcPr>
            <w:tcW w:w="715" w:type="pct"/>
            <w:tcBorders>
              <w:top w:val="nil"/>
              <w:left w:val="nil"/>
              <w:bottom w:val="single" w:sz="8" w:space="0" w:color="auto"/>
              <w:right w:val="single" w:sz="8" w:space="0" w:color="auto"/>
            </w:tcBorders>
            <w:shd w:val="clear" w:color="000000" w:fill="FFCC00"/>
            <w:noWrap/>
            <w:hideMark/>
          </w:tcPr>
          <w:p w:rsidR="0092248F" w:rsidRPr="00BD1E88" w:rsidRDefault="0092248F" w:rsidP="00254CD8">
            <w:pPr>
              <w:widowControl/>
              <w:jc w:val="center"/>
              <w:rPr>
                <w:rFonts w:ascii="楷体_GB2312" w:eastAsia="楷体_GB2312" w:hAnsi="宋体" w:cs="宋体"/>
                <w:color w:val="000000"/>
                <w:kern w:val="0"/>
                <w:szCs w:val="21"/>
              </w:rPr>
            </w:pPr>
            <w:r w:rsidRPr="00BD1E88">
              <w:rPr>
                <w:rFonts w:ascii="楷体_GB2312" w:eastAsia="楷体_GB2312" w:hAnsi="宋体" w:cs="宋体" w:hint="eastAsia"/>
                <w:color w:val="000000"/>
                <w:kern w:val="0"/>
                <w:szCs w:val="21"/>
              </w:rPr>
              <w:t>超越基准</w:t>
            </w:r>
          </w:p>
        </w:tc>
        <w:tc>
          <w:tcPr>
            <w:tcW w:w="2143" w:type="pct"/>
            <w:gridSpan w:val="3"/>
            <w:vMerge/>
            <w:tcBorders>
              <w:left w:val="nil"/>
              <w:bottom w:val="single" w:sz="8" w:space="0" w:color="auto"/>
              <w:right w:val="single" w:sz="8" w:space="0" w:color="auto"/>
            </w:tcBorders>
            <w:shd w:val="clear" w:color="auto" w:fill="auto"/>
            <w:noWrap/>
            <w:hideMark/>
          </w:tcPr>
          <w:p w:rsidR="0092248F" w:rsidRPr="00BD1E88" w:rsidRDefault="0092248F" w:rsidP="00254CD8">
            <w:pPr>
              <w:widowControl/>
              <w:jc w:val="center"/>
              <w:rPr>
                <w:rFonts w:ascii="楷体_GB2312" w:eastAsia="楷体_GB2312" w:hAnsi="宋体" w:cs="宋体"/>
                <w:color w:val="000000"/>
                <w:kern w:val="0"/>
                <w:szCs w:val="21"/>
              </w:rPr>
            </w:pPr>
          </w:p>
        </w:tc>
      </w:tr>
      <w:tr w:rsidR="0092248F" w:rsidRPr="007E4F1C"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54CD8">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积极型</w:t>
            </w:r>
          </w:p>
        </w:tc>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-14.96%</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-19.25%</w:t>
            </w:r>
          </w:p>
        </w:tc>
        <w:tc>
          <w:tcPr>
            <w:tcW w:w="715" w:type="pct"/>
            <w:tcBorders>
              <w:top w:val="nil"/>
              <w:left w:val="nil"/>
              <w:bottom w:val="single" w:sz="8" w:space="0" w:color="auto"/>
              <w:right w:val="single" w:sz="8" w:space="0" w:color="auto"/>
            </w:tcBorders>
            <w:shd w:val="clear" w:color="auto" w:fill="auto"/>
            <w:noWrap/>
            <w:hideMark/>
          </w:tcPr>
          <w:p w:rsidR="0092248F" w:rsidRPr="007E4F1C" w:rsidRDefault="0092248F" w:rsidP="00254CD8">
            <w:pPr>
              <w:jc w:val="center"/>
              <w:rPr>
                <w:b/>
                <w:i/>
                <w:color w:val="0D0D0D"/>
                <w:szCs w:val="21"/>
              </w:rPr>
            </w:pPr>
            <w:r w:rsidRPr="007E4F1C">
              <w:rPr>
                <w:b/>
                <w:i/>
                <w:color w:val="0D0D0D"/>
                <w:szCs w:val="21"/>
              </w:rPr>
              <w:t>4.29%</w:t>
            </w:r>
          </w:p>
        </w:tc>
        <w:tc>
          <w:tcPr>
            <w:tcW w:w="2143" w:type="pct"/>
            <w:gridSpan w:val="3"/>
            <w:vMerge/>
            <w:tcBorders>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p>
        </w:tc>
      </w:tr>
      <w:tr w:rsidR="0092248F" w:rsidRPr="007E4F1C"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54CD8">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平衡型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-6.50%</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FF0000"/>
                <w:szCs w:val="21"/>
              </w:rPr>
              <w:t>-10.95%</w:t>
            </w:r>
          </w:p>
        </w:tc>
        <w:tc>
          <w:tcPr>
            <w:tcW w:w="715" w:type="pct"/>
            <w:tcBorders>
              <w:top w:val="nil"/>
              <w:left w:val="nil"/>
              <w:bottom w:val="single" w:sz="8" w:space="0" w:color="auto"/>
              <w:right w:val="single" w:sz="8" w:space="0" w:color="auto"/>
            </w:tcBorders>
            <w:shd w:val="clear" w:color="auto" w:fill="auto"/>
            <w:noWrap/>
            <w:hideMark/>
          </w:tcPr>
          <w:p w:rsidR="0092248F" w:rsidRPr="007E4F1C" w:rsidRDefault="0092248F" w:rsidP="00254CD8">
            <w:pPr>
              <w:jc w:val="center"/>
              <w:rPr>
                <w:b/>
                <w:i/>
                <w:color w:val="0D0D0D"/>
                <w:szCs w:val="21"/>
              </w:rPr>
            </w:pPr>
            <w:r w:rsidRPr="007E4F1C">
              <w:rPr>
                <w:b/>
                <w:i/>
                <w:color w:val="0D0D0D"/>
                <w:szCs w:val="21"/>
              </w:rPr>
              <w:t>4.45%</w:t>
            </w:r>
          </w:p>
        </w:tc>
        <w:tc>
          <w:tcPr>
            <w:tcW w:w="2143" w:type="pct"/>
            <w:gridSpan w:val="3"/>
            <w:vMerge/>
            <w:tcBorders>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p>
        </w:tc>
      </w:tr>
      <w:tr w:rsidR="0092248F" w:rsidRPr="007E4F1C" w:rsidTr="0092248F">
        <w:trPr>
          <w:trHeight w:val="315"/>
        </w:trPr>
        <w:tc>
          <w:tcPr>
            <w:tcW w:w="714" w:type="pct"/>
            <w:tcBorders>
              <w:top w:val="nil"/>
              <w:left w:val="single" w:sz="8" w:space="0" w:color="auto"/>
              <w:bottom w:val="single" w:sz="8" w:space="0" w:color="auto"/>
              <w:right w:val="single" w:sz="8" w:space="0" w:color="auto"/>
            </w:tcBorders>
            <w:shd w:val="clear" w:color="000000" w:fill="CCFFCC"/>
            <w:vAlign w:val="bottom"/>
            <w:hideMark/>
          </w:tcPr>
          <w:p w:rsidR="0092248F" w:rsidRPr="00BD1E88" w:rsidRDefault="0092248F" w:rsidP="00254CD8">
            <w:pPr>
              <w:widowControl/>
              <w:jc w:val="center"/>
              <w:rPr>
                <w:rFonts w:ascii="楷体_GB2312" w:eastAsia="楷体_GB2312" w:hAnsi="宋体" w:cs="宋体"/>
                <w:b/>
                <w:bCs/>
                <w:color w:val="000000"/>
                <w:kern w:val="0"/>
                <w:szCs w:val="21"/>
              </w:rPr>
            </w:pPr>
            <w:r w:rsidRPr="00BD1E88">
              <w:rPr>
                <w:rFonts w:ascii="楷体_GB2312" w:eastAsia="楷体_GB2312" w:hAnsi="宋体" w:cs="宋体" w:hint="eastAsia"/>
                <w:b/>
                <w:bCs/>
                <w:color w:val="000000"/>
                <w:kern w:val="0"/>
                <w:szCs w:val="21"/>
              </w:rPr>
              <w:t>稳健型</w:t>
            </w: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3.24%</w:t>
            </w:r>
          </w:p>
        </w:tc>
        <w:tc>
          <w:tcPr>
            <w:tcW w:w="714" w:type="pct"/>
            <w:tcBorders>
              <w:top w:val="nil"/>
              <w:left w:val="nil"/>
              <w:bottom w:val="single" w:sz="4" w:space="0" w:color="auto"/>
              <w:right w:val="single" w:sz="4" w:space="0" w:color="auto"/>
            </w:tcBorders>
            <w:shd w:val="clear" w:color="auto" w:fill="auto"/>
            <w:noWrap/>
            <w:vAlign w:val="bottom"/>
            <w:hideMark/>
          </w:tcPr>
          <w:p w:rsidR="0092248F" w:rsidRPr="007E4F1C" w:rsidRDefault="0092248F" w:rsidP="00254CD8">
            <w:pPr>
              <w:jc w:val="center"/>
              <w:rPr>
                <w:rFonts w:ascii="宋体" w:hAnsi="宋体" w:cs="宋体"/>
                <w:i/>
                <w:color w:val="0D0D0D"/>
                <w:szCs w:val="21"/>
              </w:rPr>
            </w:pPr>
            <w:r w:rsidRPr="007E4F1C">
              <w:rPr>
                <w:rFonts w:hint="eastAsia"/>
                <w:i/>
                <w:color w:val="0D0D0D"/>
                <w:szCs w:val="21"/>
              </w:rPr>
              <w:t>3.18%</w:t>
            </w:r>
          </w:p>
        </w:tc>
        <w:tc>
          <w:tcPr>
            <w:tcW w:w="715" w:type="pct"/>
            <w:tcBorders>
              <w:top w:val="nil"/>
              <w:left w:val="nil"/>
              <w:bottom w:val="single" w:sz="8" w:space="0" w:color="auto"/>
              <w:right w:val="single" w:sz="8" w:space="0" w:color="auto"/>
            </w:tcBorders>
            <w:shd w:val="clear" w:color="auto" w:fill="auto"/>
            <w:noWrap/>
            <w:hideMark/>
          </w:tcPr>
          <w:p w:rsidR="0092248F" w:rsidRPr="007E4F1C" w:rsidRDefault="0092248F" w:rsidP="00254CD8">
            <w:pPr>
              <w:jc w:val="center"/>
              <w:rPr>
                <w:b/>
                <w:i/>
                <w:color w:val="0D0D0D"/>
                <w:szCs w:val="21"/>
              </w:rPr>
            </w:pPr>
            <w:r w:rsidRPr="007E4F1C">
              <w:rPr>
                <w:b/>
                <w:i/>
                <w:color w:val="0D0D0D"/>
                <w:szCs w:val="21"/>
              </w:rPr>
              <w:t>0.06%</w:t>
            </w:r>
          </w:p>
        </w:tc>
        <w:tc>
          <w:tcPr>
            <w:tcW w:w="2143" w:type="pct"/>
            <w:gridSpan w:val="3"/>
            <w:vMerge/>
            <w:tcBorders>
              <w:left w:val="nil"/>
              <w:bottom w:val="single" w:sz="8" w:space="0" w:color="auto"/>
              <w:right w:val="single" w:sz="8" w:space="0" w:color="auto"/>
            </w:tcBorders>
            <w:shd w:val="clear" w:color="auto" w:fill="auto"/>
            <w:noWrap/>
            <w:vAlign w:val="bottom"/>
            <w:hideMark/>
          </w:tcPr>
          <w:p w:rsidR="0092248F" w:rsidRPr="007E4F1C" w:rsidRDefault="0092248F" w:rsidP="00254CD8">
            <w:pPr>
              <w:jc w:val="center"/>
              <w:rPr>
                <w:rFonts w:ascii="宋体" w:hAnsi="宋体" w:cs="宋体"/>
                <w:b/>
                <w:i/>
                <w:color w:val="0D0D0D"/>
                <w:szCs w:val="21"/>
              </w:rPr>
            </w:pPr>
          </w:p>
        </w:tc>
      </w:tr>
    </w:tbl>
    <w:p w:rsidR="008E0A57" w:rsidRDefault="008E0A57" w:rsidP="008E0A57">
      <w:pPr>
        <w:keepLines/>
        <w:adjustRightInd w:val="0"/>
        <w:snapToGrid w:val="0"/>
        <w:jc w:val="left"/>
        <w:rPr>
          <w:rFonts w:ascii="楷体_GB2312" w:eastAsia="楷体_GB2312"/>
          <w:noProof/>
        </w:rPr>
      </w:pPr>
      <w:r>
        <w:rPr>
          <w:rFonts w:ascii="楷体_GB2312" w:eastAsia="楷体_GB2312" w:hint="eastAsia"/>
          <w:noProof/>
        </w:rPr>
        <w:t>注：数据截至</w:t>
      </w:r>
      <w:r w:rsidRPr="00CD771C">
        <w:rPr>
          <w:rFonts w:ascii="楷体_GB2312" w:eastAsia="楷体_GB2312" w:hint="eastAsia"/>
          <w:noProof/>
        </w:rPr>
        <w:t>201</w:t>
      </w:r>
      <w:r w:rsidR="00C33FBF">
        <w:rPr>
          <w:rFonts w:ascii="楷体_GB2312" w:eastAsia="楷体_GB2312" w:hint="eastAsia"/>
          <w:noProof/>
        </w:rPr>
        <w:t>4</w:t>
      </w:r>
      <w:r w:rsidRPr="00CD771C">
        <w:rPr>
          <w:rFonts w:ascii="楷体_GB2312" w:eastAsia="楷体_GB2312" w:hint="eastAsia"/>
          <w:noProof/>
        </w:rPr>
        <w:t>年</w:t>
      </w:r>
      <w:r w:rsidR="002A6E97">
        <w:rPr>
          <w:rFonts w:ascii="楷体_GB2312" w:eastAsia="楷体_GB2312" w:hint="eastAsia"/>
          <w:noProof/>
        </w:rPr>
        <w:t>2</w:t>
      </w:r>
      <w:r w:rsidRPr="00CD771C">
        <w:rPr>
          <w:rFonts w:ascii="楷体_GB2312" w:eastAsia="楷体_GB2312" w:hint="eastAsia"/>
          <w:noProof/>
        </w:rPr>
        <w:t>月</w:t>
      </w:r>
      <w:r w:rsidR="002A6E97">
        <w:rPr>
          <w:rFonts w:ascii="楷体_GB2312" w:eastAsia="楷体_GB2312" w:hint="eastAsia"/>
          <w:noProof/>
        </w:rPr>
        <w:t>28</w:t>
      </w:r>
      <w:r w:rsidRPr="00CD771C">
        <w:rPr>
          <w:rFonts w:ascii="楷体_GB2312" w:eastAsia="楷体_GB2312" w:hint="eastAsia"/>
          <w:noProof/>
        </w:rPr>
        <w:t>日</w:t>
      </w:r>
      <w:r>
        <w:rPr>
          <w:rFonts w:ascii="楷体_GB2312" w:eastAsia="楷体_GB2312" w:hint="eastAsia"/>
          <w:noProof/>
        </w:rPr>
        <w:t>,组合于2011年2月</w:t>
      </w:r>
      <w:r w:rsidR="002A6E97">
        <w:rPr>
          <w:rFonts w:ascii="楷体_GB2312" w:eastAsia="楷体_GB2312" w:hint="eastAsia"/>
          <w:noProof/>
        </w:rPr>
        <w:t>1日</w:t>
      </w:r>
      <w:r>
        <w:rPr>
          <w:rFonts w:ascii="楷体_GB2312" w:eastAsia="楷体_GB2312" w:hint="eastAsia"/>
          <w:noProof/>
        </w:rPr>
        <w:t>设立。</w:t>
      </w:r>
    </w:p>
    <w:p w:rsidR="008E0A57" w:rsidRPr="003D06B4" w:rsidRDefault="008E0A57" w:rsidP="008E0A57">
      <w:pPr>
        <w:rPr>
          <w:rFonts w:ascii="楷体_GB2312" w:eastAsia="楷体_GB2312"/>
          <w:b/>
          <w:noProof/>
        </w:rPr>
      </w:pPr>
      <w:r>
        <w:rPr>
          <w:rFonts w:ascii="楷体_GB2312" w:eastAsia="楷体_GB2312" w:hint="eastAsia"/>
          <w:b/>
          <w:noProof/>
        </w:rPr>
        <w:t>上海证券基金推荐组合</w:t>
      </w:r>
      <w:r w:rsidRPr="003D06B4">
        <w:rPr>
          <w:rFonts w:ascii="楷体_GB2312" w:eastAsia="楷体_GB2312" w:hint="eastAsia"/>
          <w:b/>
          <w:noProof/>
        </w:rPr>
        <w:t>业绩比较基准</w:t>
      </w:r>
      <w:r>
        <w:rPr>
          <w:rFonts w:ascii="楷体_GB2312" w:eastAsia="楷体_GB2312" w:hint="eastAsia"/>
          <w:b/>
          <w:noProof/>
        </w:rPr>
        <w:t>：</w:t>
      </w:r>
    </w:p>
    <w:p w:rsidR="008E0A57" w:rsidRPr="00960590" w:rsidRDefault="008E0A57" w:rsidP="008E0A57">
      <w:pPr>
        <w:rPr>
          <w:rFonts w:ascii="楷体_GB2312" w:eastAsia="楷体_GB2312"/>
          <w:noProof/>
        </w:rPr>
      </w:pPr>
      <w:r w:rsidRPr="00960590">
        <w:rPr>
          <w:rFonts w:ascii="楷体_GB2312" w:eastAsia="楷体_GB2312" w:hint="eastAsia"/>
          <w:noProof/>
        </w:rPr>
        <w:t>积极型组合</w:t>
      </w:r>
      <w:r>
        <w:rPr>
          <w:rFonts w:ascii="楷体_GB2312" w:eastAsia="楷体_GB2312" w:hint="eastAsia"/>
          <w:noProof/>
        </w:rPr>
        <w:t>：</w:t>
      </w:r>
      <w:r w:rsidRPr="00960590">
        <w:rPr>
          <w:rFonts w:ascii="楷体_GB2312" w:eastAsia="楷体_GB2312" w:hint="eastAsia"/>
          <w:noProof/>
        </w:rPr>
        <w:t>主动投资偏股型基金整体</w:t>
      </w:r>
      <w:r>
        <w:rPr>
          <w:rFonts w:ascii="楷体_GB2312" w:eastAsia="楷体_GB2312" w:hint="eastAsia"/>
          <w:noProof/>
        </w:rPr>
        <w:t>（包括当月仍然处于建仓期的基金，以下同）</w:t>
      </w:r>
      <w:r w:rsidRPr="00960590">
        <w:rPr>
          <w:rFonts w:ascii="楷体_GB2312" w:eastAsia="楷体_GB2312" w:hint="eastAsia"/>
          <w:noProof/>
        </w:rPr>
        <w:t>；</w:t>
      </w:r>
    </w:p>
    <w:p w:rsidR="008E0A57" w:rsidRPr="00960590" w:rsidRDefault="008E0A57" w:rsidP="008E0A57">
      <w:pPr>
        <w:rPr>
          <w:rFonts w:ascii="楷体_GB2312" w:eastAsia="楷体_GB2312"/>
          <w:noProof/>
        </w:rPr>
      </w:pPr>
      <w:r w:rsidRPr="00960590">
        <w:rPr>
          <w:rFonts w:ascii="楷体_GB2312" w:eastAsia="楷体_GB2312" w:hint="eastAsia"/>
          <w:noProof/>
        </w:rPr>
        <w:t>平衡型</w:t>
      </w:r>
      <w:r>
        <w:rPr>
          <w:rFonts w:ascii="楷体_GB2312" w:eastAsia="楷体_GB2312" w:hint="eastAsia"/>
          <w:noProof/>
        </w:rPr>
        <w:t>组合：</w:t>
      </w:r>
      <w:r w:rsidRPr="00960590">
        <w:rPr>
          <w:rFonts w:ascii="楷体_GB2312" w:eastAsia="楷体_GB2312" w:hint="eastAsia"/>
          <w:noProof/>
        </w:rPr>
        <w:t>50%主动投资偏股型基金+50%债券型基金；</w:t>
      </w:r>
    </w:p>
    <w:p w:rsidR="008E0A57" w:rsidRDefault="008E0A57" w:rsidP="008E0A57">
      <w:pPr>
        <w:rPr>
          <w:rFonts w:ascii="楷体_GB2312" w:eastAsia="楷体_GB2312"/>
          <w:noProof/>
        </w:rPr>
      </w:pPr>
      <w:r w:rsidRPr="00960590">
        <w:rPr>
          <w:rFonts w:ascii="楷体_GB2312" w:eastAsia="楷体_GB2312" w:hint="eastAsia"/>
          <w:noProof/>
        </w:rPr>
        <w:t>稳健型</w:t>
      </w:r>
      <w:r>
        <w:rPr>
          <w:rFonts w:ascii="楷体_GB2312" w:eastAsia="楷体_GB2312" w:hint="eastAsia"/>
          <w:noProof/>
        </w:rPr>
        <w:t>组合：</w:t>
      </w:r>
      <w:r w:rsidRPr="00960590">
        <w:rPr>
          <w:rFonts w:ascii="楷体_GB2312" w:eastAsia="楷体_GB2312" w:hint="eastAsia"/>
          <w:noProof/>
        </w:rPr>
        <w:t>一年定期存款利率</w:t>
      </w:r>
      <w:r>
        <w:rPr>
          <w:rFonts w:ascii="楷体_GB2312" w:eastAsia="楷体_GB2312" w:hint="eastAsia"/>
          <w:noProof/>
        </w:rPr>
        <w:t>。</w:t>
      </w:r>
    </w:p>
    <w:p w:rsidR="0067696A" w:rsidRDefault="0067696A" w:rsidP="008E0A57">
      <w:pPr>
        <w:rPr>
          <w:rFonts w:ascii="楷体_GB2312" w:eastAsia="楷体_GB2312"/>
          <w:noProof/>
        </w:rPr>
      </w:pPr>
    </w:p>
    <w:p w:rsidR="008E0A57" w:rsidRPr="00144B03" w:rsidRDefault="008E0A57" w:rsidP="0067696A">
      <w:pPr>
        <w:keepNext/>
        <w:keepLines/>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lastRenderedPageBreak/>
        <w:t>图</w:t>
      </w:r>
      <w:r w:rsidR="00634E6C">
        <w:rPr>
          <w:rFonts w:ascii="楷体_GB2312" w:eastAsia="楷体_GB2312" w:hint="eastAsia"/>
          <w:b/>
          <w:color w:val="000000"/>
          <w:sz w:val="18"/>
          <w:szCs w:val="18"/>
        </w:rPr>
        <w:t>16</w:t>
      </w:r>
      <w:r w:rsidRPr="00144B03">
        <w:rPr>
          <w:rFonts w:ascii="楷体_GB2312" w:eastAsia="楷体_GB2312" w:hint="eastAsia"/>
          <w:b/>
          <w:color w:val="000000"/>
          <w:sz w:val="18"/>
          <w:szCs w:val="18"/>
        </w:rPr>
        <w:t xml:space="preserve">  上海证券积极型基金组合累计</w:t>
      </w:r>
      <w:r w:rsidR="00DF138F" w:rsidRPr="00144B03">
        <w:rPr>
          <w:rFonts w:ascii="楷体_GB2312" w:eastAsia="楷体_GB2312" w:hint="eastAsia"/>
          <w:b/>
          <w:color w:val="000000"/>
          <w:sz w:val="18"/>
          <w:szCs w:val="18"/>
        </w:rPr>
        <w:t>收益</w:t>
      </w:r>
      <w:r w:rsidRPr="00144B03">
        <w:rPr>
          <w:rFonts w:ascii="楷体_GB2312" w:eastAsia="楷体_GB2312" w:hint="eastAsia"/>
          <w:b/>
          <w:color w:val="000000"/>
          <w:sz w:val="18"/>
          <w:szCs w:val="18"/>
        </w:rPr>
        <w:t>图</w:t>
      </w:r>
    </w:p>
    <w:p w:rsidR="008E0A57" w:rsidRDefault="00175259" w:rsidP="0067696A">
      <w:pPr>
        <w:keepNext/>
        <w:keepLines/>
        <w:jc w:val="center"/>
      </w:pPr>
      <w:r w:rsidRPr="00175259">
        <w:drawing>
          <wp:inline distT="0" distB="0" distL="0" distR="0">
            <wp:extent cx="5120640" cy="2067560"/>
            <wp:effectExtent l="19050" t="0" r="381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5120640" cy="2067560"/>
                    </a:xfrm>
                    <a:prstGeom prst="rect">
                      <a:avLst/>
                    </a:prstGeom>
                    <a:noFill/>
                    <a:ln w="9525">
                      <a:noFill/>
                      <a:miter lim="800000"/>
                      <a:headEnd/>
                      <a:tailEnd/>
                    </a:ln>
                  </pic:spPr>
                </pic:pic>
              </a:graphicData>
            </a:graphic>
          </wp:inline>
        </w:drawing>
      </w:r>
    </w:p>
    <w:p w:rsidR="008E0A57" w:rsidRDefault="008E0A57" w:rsidP="0067696A">
      <w:pPr>
        <w:keepNext/>
        <w:keepLines/>
        <w:ind w:leftChars="1350" w:left="2835" w:firstLine="420"/>
        <w:rPr>
          <w:rFonts w:ascii="楷体_GB2312" w:eastAsia="楷体_GB2312"/>
          <w:b/>
          <w:color w:val="000000"/>
        </w:rPr>
      </w:pPr>
    </w:p>
    <w:p w:rsidR="008E0A57" w:rsidRPr="00144B03" w:rsidRDefault="008E0A57" w:rsidP="0067696A">
      <w:pPr>
        <w:keepNext/>
        <w:keepLines/>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图</w:t>
      </w:r>
      <w:r w:rsidR="00634E6C">
        <w:rPr>
          <w:rFonts w:ascii="楷体_GB2312" w:eastAsia="楷体_GB2312" w:hint="eastAsia"/>
          <w:b/>
          <w:color w:val="000000"/>
          <w:sz w:val="18"/>
          <w:szCs w:val="18"/>
        </w:rPr>
        <w:t>17</w:t>
      </w:r>
      <w:r w:rsidRPr="00144B03">
        <w:rPr>
          <w:rFonts w:ascii="楷体_GB2312" w:eastAsia="楷体_GB2312" w:hint="eastAsia"/>
          <w:b/>
          <w:color w:val="000000"/>
          <w:sz w:val="18"/>
          <w:szCs w:val="18"/>
        </w:rPr>
        <w:t xml:space="preserve">  上海证券平衡型基金组合累计</w:t>
      </w:r>
      <w:r w:rsidR="00177718" w:rsidRPr="00144B03">
        <w:rPr>
          <w:rFonts w:ascii="楷体_GB2312" w:eastAsia="楷体_GB2312" w:hint="eastAsia"/>
          <w:b/>
          <w:color w:val="000000"/>
          <w:sz w:val="18"/>
          <w:szCs w:val="18"/>
        </w:rPr>
        <w:t>收益</w:t>
      </w:r>
      <w:r w:rsidRPr="00144B03">
        <w:rPr>
          <w:rFonts w:ascii="楷体_GB2312" w:eastAsia="楷体_GB2312" w:hint="eastAsia"/>
          <w:b/>
          <w:color w:val="000000"/>
          <w:sz w:val="18"/>
          <w:szCs w:val="18"/>
        </w:rPr>
        <w:t>图</w:t>
      </w:r>
    </w:p>
    <w:p w:rsidR="008E0A57" w:rsidRDefault="00175259" w:rsidP="0067696A">
      <w:pPr>
        <w:keepNext/>
        <w:keepLines/>
        <w:jc w:val="center"/>
        <w:rPr>
          <w:rFonts w:ascii="楷体_GB2312" w:eastAsia="楷体_GB2312"/>
          <w:noProof/>
        </w:rPr>
      </w:pPr>
      <w:r w:rsidRPr="00175259">
        <w:drawing>
          <wp:inline distT="0" distB="0" distL="0" distR="0">
            <wp:extent cx="5120640" cy="2067560"/>
            <wp:effectExtent l="19050" t="0" r="3810" b="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5120640" cy="2067560"/>
                    </a:xfrm>
                    <a:prstGeom prst="rect">
                      <a:avLst/>
                    </a:prstGeom>
                    <a:noFill/>
                    <a:ln w="9525">
                      <a:noFill/>
                      <a:miter lim="800000"/>
                      <a:headEnd/>
                      <a:tailEnd/>
                    </a:ln>
                  </pic:spPr>
                </pic:pic>
              </a:graphicData>
            </a:graphic>
          </wp:inline>
        </w:drawing>
      </w:r>
    </w:p>
    <w:p w:rsidR="009908B0" w:rsidRDefault="009908B0" w:rsidP="0067696A">
      <w:pPr>
        <w:keepNext/>
        <w:keepLines/>
        <w:ind w:leftChars="1350" w:left="2835" w:firstLine="420"/>
        <w:rPr>
          <w:rFonts w:ascii="楷体_GB2312" w:eastAsia="楷体_GB2312"/>
          <w:b/>
          <w:color w:val="000000"/>
        </w:rPr>
      </w:pPr>
    </w:p>
    <w:p w:rsidR="008E0A57" w:rsidRPr="00144B03" w:rsidRDefault="008E0A57" w:rsidP="0067696A">
      <w:pPr>
        <w:keepNext/>
        <w:keepLines/>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t>图</w:t>
      </w:r>
      <w:r w:rsidR="00634E6C">
        <w:rPr>
          <w:rFonts w:ascii="楷体_GB2312" w:eastAsia="楷体_GB2312" w:hint="eastAsia"/>
          <w:b/>
          <w:color w:val="000000"/>
          <w:sz w:val="18"/>
          <w:szCs w:val="18"/>
        </w:rPr>
        <w:t>18</w:t>
      </w:r>
      <w:r w:rsidRPr="00144B03">
        <w:rPr>
          <w:rFonts w:ascii="楷体_GB2312" w:eastAsia="楷体_GB2312" w:hint="eastAsia"/>
          <w:b/>
          <w:color w:val="000000"/>
          <w:sz w:val="18"/>
          <w:szCs w:val="18"/>
        </w:rPr>
        <w:t xml:space="preserve">  上海证券稳健型基金组合累计</w:t>
      </w:r>
      <w:r w:rsidR="00177718" w:rsidRPr="00144B03">
        <w:rPr>
          <w:rFonts w:ascii="楷体_GB2312" w:eastAsia="楷体_GB2312" w:hint="eastAsia"/>
          <w:b/>
          <w:color w:val="000000"/>
          <w:sz w:val="18"/>
          <w:szCs w:val="18"/>
        </w:rPr>
        <w:t>收益</w:t>
      </w:r>
      <w:r w:rsidRPr="00144B03">
        <w:rPr>
          <w:rFonts w:ascii="楷体_GB2312" w:eastAsia="楷体_GB2312" w:hint="eastAsia"/>
          <w:b/>
          <w:color w:val="000000"/>
          <w:sz w:val="18"/>
          <w:szCs w:val="18"/>
        </w:rPr>
        <w:t>图</w:t>
      </w:r>
    </w:p>
    <w:p w:rsidR="008E0A57" w:rsidRDefault="00175259" w:rsidP="0067696A">
      <w:pPr>
        <w:keepNext/>
        <w:keepLines/>
        <w:jc w:val="center"/>
        <w:rPr>
          <w:rFonts w:ascii="楷体_GB2312" w:eastAsia="楷体_GB2312"/>
          <w:noProof/>
        </w:rPr>
      </w:pPr>
      <w:r w:rsidRPr="00175259">
        <w:drawing>
          <wp:inline distT="0" distB="0" distL="0" distR="0">
            <wp:extent cx="5120640" cy="2067560"/>
            <wp:effectExtent l="19050" t="0" r="3810" b="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5120640" cy="2067560"/>
                    </a:xfrm>
                    <a:prstGeom prst="rect">
                      <a:avLst/>
                    </a:prstGeom>
                    <a:noFill/>
                    <a:ln w="9525">
                      <a:noFill/>
                      <a:miter lim="800000"/>
                      <a:headEnd/>
                      <a:tailEnd/>
                    </a:ln>
                  </pic:spPr>
                </pic:pic>
              </a:graphicData>
            </a:graphic>
          </wp:inline>
        </w:drawing>
      </w:r>
    </w:p>
    <w:p w:rsidR="003A2393" w:rsidRDefault="003A2393" w:rsidP="00144B03">
      <w:pPr>
        <w:spacing w:line="360" w:lineRule="auto"/>
        <w:jc w:val="center"/>
        <w:rPr>
          <w:rFonts w:ascii="楷体_GB2312" w:eastAsia="楷体_GB2312" w:hint="eastAsia"/>
          <w:b/>
          <w:color w:val="000000"/>
          <w:sz w:val="18"/>
          <w:szCs w:val="18"/>
        </w:rPr>
      </w:pPr>
    </w:p>
    <w:p w:rsidR="00175259" w:rsidRDefault="00175259" w:rsidP="00144B03">
      <w:pPr>
        <w:spacing w:line="360" w:lineRule="auto"/>
        <w:jc w:val="center"/>
        <w:rPr>
          <w:rFonts w:ascii="楷体_GB2312" w:eastAsia="楷体_GB2312" w:hint="eastAsia"/>
          <w:b/>
          <w:color w:val="000000"/>
          <w:sz w:val="18"/>
          <w:szCs w:val="18"/>
        </w:rPr>
      </w:pPr>
    </w:p>
    <w:p w:rsidR="00175259" w:rsidRDefault="00175259" w:rsidP="00144B03">
      <w:pPr>
        <w:spacing w:line="360" w:lineRule="auto"/>
        <w:jc w:val="center"/>
        <w:rPr>
          <w:rFonts w:ascii="楷体_GB2312" w:eastAsia="楷体_GB2312"/>
          <w:b/>
          <w:color w:val="000000"/>
          <w:sz w:val="18"/>
          <w:szCs w:val="18"/>
        </w:rPr>
      </w:pPr>
    </w:p>
    <w:p w:rsidR="00E948C6" w:rsidRPr="00144B03" w:rsidRDefault="00A827A2" w:rsidP="00144B03">
      <w:pPr>
        <w:spacing w:line="360" w:lineRule="auto"/>
        <w:jc w:val="center"/>
        <w:rPr>
          <w:rFonts w:ascii="楷体_GB2312" w:eastAsia="楷体_GB2312"/>
          <w:b/>
          <w:color w:val="000000"/>
          <w:sz w:val="18"/>
          <w:szCs w:val="18"/>
        </w:rPr>
      </w:pPr>
      <w:r w:rsidRPr="00144B03">
        <w:rPr>
          <w:rFonts w:ascii="楷体_GB2312" w:eastAsia="楷体_GB2312" w:hint="eastAsia"/>
          <w:b/>
          <w:color w:val="000000"/>
          <w:sz w:val="18"/>
          <w:szCs w:val="18"/>
        </w:rPr>
        <w:lastRenderedPageBreak/>
        <w:t>表</w:t>
      </w:r>
      <w:r w:rsidR="00634E6C">
        <w:rPr>
          <w:rFonts w:ascii="楷体_GB2312" w:eastAsia="楷体_GB2312" w:hint="eastAsia"/>
          <w:b/>
          <w:color w:val="000000"/>
          <w:sz w:val="18"/>
          <w:szCs w:val="18"/>
        </w:rPr>
        <w:t>4</w:t>
      </w:r>
      <w:r w:rsidR="00080C6C" w:rsidRPr="00144B03">
        <w:rPr>
          <w:rFonts w:ascii="楷体_GB2312" w:eastAsia="楷体_GB2312" w:hint="eastAsia"/>
          <w:b/>
          <w:color w:val="000000"/>
          <w:sz w:val="18"/>
          <w:szCs w:val="18"/>
        </w:rPr>
        <w:t>、</w:t>
      </w:r>
      <w:r w:rsidR="00E948C6" w:rsidRPr="00144B03">
        <w:rPr>
          <w:rFonts w:ascii="楷体_GB2312" w:eastAsia="楷体_GB2312" w:hint="eastAsia"/>
          <w:b/>
          <w:color w:val="000000"/>
          <w:sz w:val="18"/>
          <w:szCs w:val="18"/>
        </w:rPr>
        <w:t>2011年2月以来各月份推荐组合</w:t>
      </w:r>
    </w:p>
    <w:tbl>
      <w:tblPr>
        <w:tblW w:w="8434" w:type="dxa"/>
        <w:jc w:val="center"/>
        <w:tblInd w:w="94" w:type="dxa"/>
        <w:tblLook w:val="04A0"/>
      </w:tblPr>
      <w:tblGrid>
        <w:gridCol w:w="2301"/>
        <w:gridCol w:w="630"/>
        <w:gridCol w:w="222"/>
        <w:gridCol w:w="2372"/>
        <w:gridCol w:w="630"/>
        <w:gridCol w:w="222"/>
        <w:gridCol w:w="1427"/>
        <w:gridCol w:w="630"/>
      </w:tblGrid>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2011年2-3月推荐组合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华商阿尔法</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2011年4-5月推荐组合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国泰纳斯达克100</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光大红利</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2011年6-8月推荐组合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国泰纳斯达克100</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2011年9月推荐组合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国泰纳斯达克100</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国富弹性</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2011年10-11月推荐组合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国富潜力</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普天债券A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2011年12月推荐组合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国富潜力</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2012年1月推荐组合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lastRenderedPageBreak/>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广发标普全球农业</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2012年2-4月推荐组合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广发全球农业</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广发强债</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2012年5-6月推荐组合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国投创新</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2012年7月推荐组合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国投创新</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2012年8-9月推荐组合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nil"/>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nil"/>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大摩资源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00"/>
          <w:jc w:val="center"/>
        </w:trPr>
        <w:tc>
          <w:tcPr>
            <w:tcW w:w="2301" w:type="dxa"/>
            <w:tcBorders>
              <w:top w:val="nil"/>
              <w:left w:val="single" w:sz="8" w:space="0" w:color="auto"/>
              <w:bottom w:val="nil"/>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nil"/>
              <w:left w:val="nil"/>
              <w:bottom w:val="nil"/>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nil"/>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nil"/>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nil"/>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2012年10-11月推荐组合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易方达资源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上投新动力</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南方多利A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2012年12月-2013年5月推荐组合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易方达资源</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上投新动力</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2013年6-8月推荐组合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lastRenderedPageBreak/>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工银红利</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华夏亚债A</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0274E7">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2013年9-1</w:t>
            </w:r>
            <w:r w:rsidR="000274E7">
              <w:rPr>
                <w:rFonts w:ascii="宋体" w:hAnsi="宋体" w:cs="宋体" w:hint="eastAsia"/>
                <w:b/>
                <w:bCs/>
                <w:color w:val="FF0000"/>
                <w:kern w:val="0"/>
                <w:sz w:val="20"/>
                <w:szCs w:val="20"/>
              </w:rPr>
              <w:t>1</w:t>
            </w:r>
            <w:r w:rsidRPr="00224A46">
              <w:rPr>
                <w:rFonts w:ascii="宋体" w:hAnsi="宋体" w:cs="宋体" w:hint="eastAsia"/>
                <w:b/>
                <w:bCs/>
                <w:color w:val="FF0000"/>
                <w:kern w:val="0"/>
                <w:sz w:val="20"/>
                <w:szCs w:val="20"/>
              </w:rPr>
              <w:t>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华安安心</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富国天惠</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华安安心</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224A46" w:rsidRPr="00224A46" w:rsidRDefault="00224A46" w:rsidP="00224A46">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2013年11</w:t>
            </w:r>
            <w:r w:rsidR="00CC2337">
              <w:rPr>
                <w:rFonts w:ascii="宋体" w:hAnsi="宋体" w:cs="宋体" w:hint="eastAsia"/>
                <w:b/>
                <w:bCs/>
                <w:color w:val="FF0000"/>
                <w:kern w:val="0"/>
                <w:sz w:val="20"/>
                <w:szCs w:val="20"/>
              </w:rPr>
              <w:t>-12</w:t>
            </w:r>
            <w:r w:rsidRPr="00224A46">
              <w:rPr>
                <w:rFonts w:ascii="宋体" w:hAnsi="宋体" w:cs="宋体" w:hint="eastAsia"/>
                <w:b/>
                <w:bCs/>
                <w:color w:val="FF0000"/>
                <w:kern w:val="0"/>
                <w:sz w:val="20"/>
                <w:szCs w:val="20"/>
              </w:rPr>
              <w:t>月推荐组合</w:t>
            </w:r>
          </w:p>
        </w:tc>
      </w:tr>
      <w:tr w:rsidR="00224A46"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224A46" w:rsidRPr="00224A46" w:rsidRDefault="00224A46" w:rsidP="00224A46">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224A46" w:rsidRPr="00224A46" w:rsidRDefault="00224A46" w:rsidP="00224A46">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224A46"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224A46" w:rsidRPr="00224A46" w:rsidRDefault="00224A46" w:rsidP="00224A46">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224A46"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富国天惠</w:t>
            </w:r>
          </w:p>
        </w:tc>
        <w:tc>
          <w:tcPr>
            <w:tcW w:w="630" w:type="dxa"/>
            <w:tcBorders>
              <w:top w:val="nil"/>
              <w:left w:val="nil"/>
              <w:bottom w:val="single" w:sz="8" w:space="0" w:color="auto"/>
              <w:right w:val="single" w:sz="8" w:space="0" w:color="auto"/>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224A46" w:rsidRPr="00224A46" w:rsidRDefault="00224A46" w:rsidP="00224A46">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224A46" w:rsidRPr="00224A46" w:rsidRDefault="00224A46" w:rsidP="00224A46">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224A46" w:rsidRPr="00224A46" w:rsidRDefault="00224A46" w:rsidP="00224A46">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CC2337" w:rsidRPr="00224A46" w:rsidTr="004D794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CC2337" w:rsidRPr="00224A46" w:rsidRDefault="00CC2337" w:rsidP="00CC2337">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w:t>
            </w:r>
            <w:r>
              <w:rPr>
                <w:rFonts w:ascii="宋体" w:hAnsi="宋体" w:cs="宋体" w:hint="eastAsia"/>
                <w:b/>
                <w:bCs/>
                <w:color w:val="FF0000"/>
                <w:kern w:val="0"/>
                <w:sz w:val="20"/>
                <w:szCs w:val="20"/>
              </w:rPr>
              <w:t>4</w:t>
            </w:r>
            <w:r w:rsidRPr="00224A46">
              <w:rPr>
                <w:rFonts w:ascii="宋体" w:hAnsi="宋体" w:cs="宋体" w:hint="eastAsia"/>
                <w:b/>
                <w:bCs/>
                <w:color w:val="FF0000"/>
                <w:kern w:val="0"/>
                <w:sz w:val="20"/>
                <w:szCs w:val="20"/>
              </w:rPr>
              <w:t>年</w:t>
            </w:r>
            <w:r>
              <w:rPr>
                <w:rFonts w:ascii="宋体" w:hAnsi="宋体" w:cs="宋体" w:hint="eastAsia"/>
                <w:b/>
                <w:bCs/>
                <w:color w:val="FF0000"/>
                <w:kern w:val="0"/>
                <w:sz w:val="20"/>
                <w:szCs w:val="20"/>
              </w:rPr>
              <w:t>1</w:t>
            </w:r>
            <w:r w:rsidR="00CF5001">
              <w:rPr>
                <w:rFonts w:ascii="宋体" w:hAnsi="宋体" w:cs="宋体" w:hint="eastAsia"/>
                <w:b/>
                <w:bCs/>
                <w:color w:val="FF0000"/>
                <w:kern w:val="0"/>
                <w:sz w:val="20"/>
                <w:szCs w:val="20"/>
              </w:rPr>
              <w:t>-2</w:t>
            </w:r>
            <w:r w:rsidRPr="00224A46">
              <w:rPr>
                <w:rFonts w:ascii="宋体" w:hAnsi="宋体" w:cs="宋体" w:hint="eastAsia"/>
                <w:b/>
                <w:bCs/>
                <w:color w:val="FF0000"/>
                <w:kern w:val="0"/>
                <w:sz w:val="20"/>
                <w:szCs w:val="20"/>
              </w:rPr>
              <w:t>月推荐组合</w:t>
            </w:r>
          </w:p>
        </w:tc>
      </w:tr>
      <w:tr w:rsidR="00CC2337" w:rsidRPr="00224A46" w:rsidTr="004D794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CC2337" w:rsidRPr="00224A46" w:rsidRDefault="00CC2337" w:rsidP="001170FF">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CC2337" w:rsidRPr="00224A46" w:rsidRDefault="00CC2337" w:rsidP="001170FF">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CC2337" w:rsidRPr="00224A46" w:rsidRDefault="00CC2337" w:rsidP="001170FF">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CC2337" w:rsidRPr="00224A46" w:rsidRDefault="00CC2337" w:rsidP="001170FF">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CC2337" w:rsidRPr="00224A46" w:rsidRDefault="00CC2337" w:rsidP="001170FF">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CC2337" w:rsidRPr="00224A46" w:rsidTr="004D794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CC2337" w:rsidRPr="00224A46" w:rsidRDefault="00CC2337" w:rsidP="001170FF">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CC2337"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40%</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嘉实精选</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337" w:rsidRDefault="00CC2337">
            <w:pPr>
              <w:jc w:val="center"/>
              <w:rPr>
                <w:rFonts w:ascii="宋体" w:hAnsi="宋体" w:cs="宋体"/>
                <w:sz w:val="18"/>
                <w:szCs w:val="18"/>
              </w:rPr>
            </w:pPr>
            <w:r>
              <w:rPr>
                <w:rFonts w:hint="eastAsia"/>
                <w:sz w:val="18"/>
                <w:szCs w:val="18"/>
              </w:rPr>
              <w:t>建信货币</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Default="00CC2337">
            <w:pPr>
              <w:jc w:val="center"/>
              <w:rPr>
                <w:rFonts w:ascii="宋体" w:hAnsi="宋体" w:cs="宋体"/>
                <w:sz w:val="18"/>
                <w:szCs w:val="18"/>
              </w:rPr>
            </w:pPr>
            <w:r>
              <w:rPr>
                <w:rFonts w:hint="eastAsia"/>
                <w:sz w:val="18"/>
                <w:szCs w:val="18"/>
              </w:rPr>
              <w:t>30%</w:t>
            </w:r>
          </w:p>
        </w:tc>
      </w:tr>
      <w:tr w:rsidR="00CC2337"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CC2337" w:rsidRPr="00224A46" w:rsidTr="004D794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富国天惠</w:t>
            </w:r>
          </w:p>
        </w:tc>
        <w:tc>
          <w:tcPr>
            <w:tcW w:w="630" w:type="dxa"/>
            <w:tcBorders>
              <w:top w:val="nil"/>
              <w:left w:val="nil"/>
              <w:bottom w:val="single" w:sz="8" w:space="0" w:color="auto"/>
              <w:right w:val="single" w:sz="8" w:space="0" w:color="auto"/>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30%</w:t>
            </w:r>
          </w:p>
        </w:tc>
        <w:tc>
          <w:tcPr>
            <w:tcW w:w="222" w:type="dxa"/>
            <w:vMerge/>
            <w:tcBorders>
              <w:top w:val="nil"/>
              <w:left w:val="nil"/>
              <w:bottom w:val="single" w:sz="8" w:space="0" w:color="000000"/>
              <w:right w:val="single" w:sz="8" w:space="0" w:color="auto"/>
            </w:tcBorders>
            <w:vAlign w:val="center"/>
            <w:hideMark/>
          </w:tcPr>
          <w:p w:rsidR="00CC2337" w:rsidRPr="00224A46" w:rsidRDefault="00CC2337" w:rsidP="001170FF">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50%</w:t>
            </w:r>
          </w:p>
        </w:tc>
        <w:tc>
          <w:tcPr>
            <w:tcW w:w="222" w:type="dxa"/>
            <w:vMerge/>
            <w:tcBorders>
              <w:top w:val="nil"/>
              <w:left w:val="nil"/>
              <w:bottom w:val="single" w:sz="8" w:space="0" w:color="000000"/>
              <w:right w:val="nil"/>
            </w:tcBorders>
            <w:vAlign w:val="center"/>
            <w:hideMark/>
          </w:tcPr>
          <w:p w:rsidR="00CC2337" w:rsidRPr="00224A46" w:rsidRDefault="00CC2337" w:rsidP="001170FF">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CC2337" w:rsidRPr="00224A46" w:rsidRDefault="00CC2337" w:rsidP="001170FF">
            <w:pPr>
              <w:widowControl/>
              <w:jc w:val="center"/>
              <w:rPr>
                <w:rFonts w:ascii="宋体" w:hAnsi="宋体" w:cs="宋体"/>
                <w:kern w:val="0"/>
                <w:sz w:val="18"/>
                <w:szCs w:val="18"/>
              </w:rPr>
            </w:pPr>
            <w:r w:rsidRPr="00224A46">
              <w:rPr>
                <w:rFonts w:ascii="宋体" w:hAnsi="宋体" w:cs="宋体" w:hint="eastAsia"/>
                <w:kern w:val="0"/>
                <w:sz w:val="18"/>
                <w:szCs w:val="18"/>
              </w:rPr>
              <w:t>35%</w:t>
            </w:r>
          </w:p>
        </w:tc>
      </w:tr>
      <w:tr w:rsidR="007F4193" w:rsidRPr="00224A46" w:rsidTr="00DC2903">
        <w:trPr>
          <w:trHeight w:val="315"/>
          <w:jc w:val="center"/>
        </w:trPr>
        <w:tc>
          <w:tcPr>
            <w:tcW w:w="8434" w:type="dxa"/>
            <w:gridSpan w:val="8"/>
            <w:tcBorders>
              <w:top w:val="nil"/>
              <w:left w:val="nil"/>
              <w:bottom w:val="single" w:sz="8" w:space="0" w:color="auto"/>
              <w:right w:val="nil"/>
            </w:tcBorders>
            <w:shd w:val="clear" w:color="auto" w:fill="auto"/>
            <w:noWrap/>
            <w:vAlign w:val="bottom"/>
            <w:hideMark/>
          </w:tcPr>
          <w:p w:rsidR="007F4193" w:rsidRPr="00224A46" w:rsidRDefault="007F4193" w:rsidP="007F4193">
            <w:pPr>
              <w:widowControl/>
              <w:jc w:val="left"/>
              <w:rPr>
                <w:rFonts w:ascii="宋体" w:hAnsi="宋体" w:cs="宋体"/>
                <w:b/>
                <w:bCs/>
                <w:color w:val="FF0000"/>
                <w:kern w:val="0"/>
                <w:sz w:val="20"/>
                <w:szCs w:val="20"/>
              </w:rPr>
            </w:pPr>
            <w:r w:rsidRPr="00224A46">
              <w:rPr>
                <w:rFonts w:ascii="宋体" w:hAnsi="宋体" w:cs="宋体" w:hint="eastAsia"/>
                <w:b/>
                <w:bCs/>
                <w:color w:val="FF0000"/>
                <w:kern w:val="0"/>
                <w:sz w:val="20"/>
                <w:szCs w:val="20"/>
              </w:rPr>
              <w:t>201</w:t>
            </w:r>
            <w:r>
              <w:rPr>
                <w:rFonts w:ascii="宋体" w:hAnsi="宋体" w:cs="宋体" w:hint="eastAsia"/>
                <w:b/>
                <w:bCs/>
                <w:color w:val="FF0000"/>
                <w:kern w:val="0"/>
                <w:sz w:val="20"/>
                <w:szCs w:val="20"/>
              </w:rPr>
              <w:t>4</w:t>
            </w:r>
            <w:r w:rsidRPr="00224A46">
              <w:rPr>
                <w:rFonts w:ascii="宋体" w:hAnsi="宋体" w:cs="宋体" w:hint="eastAsia"/>
                <w:b/>
                <w:bCs/>
                <w:color w:val="FF0000"/>
                <w:kern w:val="0"/>
                <w:sz w:val="20"/>
                <w:szCs w:val="20"/>
              </w:rPr>
              <w:t>年</w:t>
            </w:r>
            <w:r>
              <w:rPr>
                <w:rFonts w:ascii="宋体" w:hAnsi="宋体" w:cs="宋体" w:hint="eastAsia"/>
                <w:b/>
                <w:bCs/>
                <w:color w:val="FF0000"/>
                <w:kern w:val="0"/>
                <w:sz w:val="20"/>
                <w:szCs w:val="20"/>
              </w:rPr>
              <w:t>3</w:t>
            </w:r>
            <w:r w:rsidRPr="00224A46">
              <w:rPr>
                <w:rFonts w:ascii="宋体" w:hAnsi="宋体" w:cs="宋体" w:hint="eastAsia"/>
                <w:b/>
                <w:bCs/>
                <w:color w:val="FF0000"/>
                <w:kern w:val="0"/>
                <w:sz w:val="20"/>
                <w:szCs w:val="20"/>
              </w:rPr>
              <w:t>月推荐组合</w:t>
            </w:r>
          </w:p>
        </w:tc>
      </w:tr>
      <w:tr w:rsidR="007F4193" w:rsidRPr="00224A46" w:rsidTr="00DC2903">
        <w:trPr>
          <w:trHeight w:val="300"/>
          <w:jc w:val="center"/>
        </w:trPr>
        <w:tc>
          <w:tcPr>
            <w:tcW w:w="2931"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7F4193" w:rsidRPr="00224A46" w:rsidRDefault="007F4193" w:rsidP="00DC2903">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积极型组合</w:t>
            </w:r>
          </w:p>
        </w:tc>
        <w:tc>
          <w:tcPr>
            <w:tcW w:w="222" w:type="dxa"/>
            <w:vMerge w:val="restart"/>
            <w:tcBorders>
              <w:top w:val="nil"/>
              <w:left w:val="nil"/>
              <w:bottom w:val="single" w:sz="8" w:space="0" w:color="000000"/>
              <w:right w:val="single" w:sz="8" w:space="0" w:color="auto"/>
            </w:tcBorders>
            <w:shd w:val="clear" w:color="auto" w:fill="auto"/>
            <w:noWrap/>
            <w:vAlign w:val="bottom"/>
            <w:hideMark/>
          </w:tcPr>
          <w:p w:rsidR="007F4193" w:rsidRPr="00224A46" w:rsidRDefault="007F4193" w:rsidP="00DC2903">
            <w:pPr>
              <w:widowControl/>
              <w:jc w:val="left"/>
              <w:rPr>
                <w:kern w:val="0"/>
                <w:sz w:val="20"/>
                <w:szCs w:val="20"/>
              </w:rPr>
            </w:pPr>
            <w:r w:rsidRPr="00224A46">
              <w:rPr>
                <w:kern w:val="0"/>
                <w:sz w:val="20"/>
                <w:szCs w:val="20"/>
              </w:rPr>
              <w:t xml:space="preserve">　</w:t>
            </w:r>
          </w:p>
        </w:tc>
        <w:tc>
          <w:tcPr>
            <w:tcW w:w="3002" w:type="dxa"/>
            <w:gridSpan w:val="2"/>
            <w:tcBorders>
              <w:top w:val="single" w:sz="8" w:space="0" w:color="auto"/>
              <w:left w:val="nil"/>
              <w:bottom w:val="nil"/>
              <w:right w:val="single" w:sz="8" w:space="0" w:color="000000"/>
            </w:tcBorders>
            <w:shd w:val="clear" w:color="000000" w:fill="0000FF"/>
            <w:noWrap/>
            <w:vAlign w:val="bottom"/>
            <w:hideMark/>
          </w:tcPr>
          <w:p w:rsidR="007F4193" w:rsidRPr="00224A46" w:rsidRDefault="007F4193" w:rsidP="00DC2903">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平衡型组合</w:t>
            </w:r>
          </w:p>
        </w:tc>
        <w:tc>
          <w:tcPr>
            <w:tcW w:w="222" w:type="dxa"/>
            <w:vMerge w:val="restart"/>
            <w:tcBorders>
              <w:top w:val="nil"/>
              <w:left w:val="nil"/>
              <w:bottom w:val="single" w:sz="8" w:space="0" w:color="000000"/>
              <w:right w:val="nil"/>
            </w:tcBorders>
            <w:shd w:val="clear" w:color="auto" w:fill="auto"/>
            <w:noWrap/>
            <w:vAlign w:val="bottom"/>
            <w:hideMark/>
          </w:tcPr>
          <w:p w:rsidR="007F4193" w:rsidRPr="00224A46" w:rsidRDefault="007F4193" w:rsidP="00DC2903">
            <w:pPr>
              <w:widowControl/>
              <w:jc w:val="left"/>
              <w:rPr>
                <w:kern w:val="0"/>
                <w:sz w:val="20"/>
                <w:szCs w:val="20"/>
              </w:rPr>
            </w:pPr>
            <w:r w:rsidRPr="00224A46">
              <w:rPr>
                <w:kern w:val="0"/>
                <w:sz w:val="20"/>
                <w:szCs w:val="20"/>
              </w:rPr>
              <w:t xml:space="preserve">　</w:t>
            </w:r>
          </w:p>
        </w:tc>
        <w:tc>
          <w:tcPr>
            <w:tcW w:w="2057" w:type="dxa"/>
            <w:gridSpan w:val="2"/>
            <w:tcBorders>
              <w:top w:val="single" w:sz="8" w:space="0" w:color="auto"/>
              <w:left w:val="single" w:sz="8" w:space="0" w:color="auto"/>
              <w:bottom w:val="nil"/>
              <w:right w:val="single" w:sz="8" w:space="0" w:color="000000"/>
            </w:tcBorders>
            <w:shd w:val="clear" w:color="000000" w:fill="0000FF"/>
            <w:noWrap/>
            <w:vAlign w:val="bottom"/>
            <w:hideMark/>
          </w:tcPr>
          <w:p w:rsidR="007F4193" w:rsidRPr="00224A46" w:rsidRDefault="007F4193" w:rsidP="00DC2903">
            <w:pPr>
              <w:widowControl/>
              <w:jc w:val="center"/>
              <w:rPr>
                <w:rFonts w:ascii="宋体" w:hAnsi="宋体" w:cs="宋体"/>
                <w:b/>
                <w:bCs/>
                <w:color w:val="FFFFFF"/>
                <w:kern w:val="0"/>
                <w:sz w:val="18"/>
                <w:szCs w:val="18"/>
              </w:rPr>
            </w:pPr>
            <w:r w:rsidRPr="00224A46">
              <w:rPr>
                <w:rFonts w:ascii="宋体" w:hAnsi="宋体" w:cs="宋体" w:hint="eastAsia"/>
                <w:b/>
                <w:bCs/>
                <w:color w:val="FFFFFF"/>
                <w:kern w:val="0"/>
                <w:sz w:val="18"/>
                <w:szCs w:val="18"/>
              </w:rPr>
              <w:t>稳定型组合</w:t>
            </w:r>
          </w:p>
        </w:tc>
      </w:tr>
      <w:tr w:rsidR="007F4193" w:rsidRPr="00224A46" w:rsidTr="00DC2903">
        <w:trPr>
          <w:trHeight w:val="315"/>
          <w:jc w:val="center"/>
        </w:trPr>
        <w:tc>
          <w:tcPr>
            <w:tcW w:w="2301" w:type="dxa"/>
            <w:tcBorders>
              <w:top w:val="nil"/>
              <w:left w:val="nil"/>
              <w:bottom w:val="single" w:sz="8" w:space="0" w:color="auto"/>
              <w:right w:val="single" w:sz="8" w:space="0" w:color="auto"/>
            </w:tcBorders>
            <w:shd w:val="clear" w:color="000000" w:fill="D9D9D9"/>
            <w:noWrap/>
            <w:vAlign w:val="bottom"/>
            <w:hideMark/>
          </w:tcPr>
          <w:p w:rsidR="007F4193" w:rsidRPr="00224A46" w:rsidRDefault="007F4193" w:rsidP="00DC2903">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auto"/>
            </w:tcBorders>
            <w:shd w:val="clear" w:color="000000" w:fill="D9D9D9"/>
            <w:noWrap/>
            <w:vAlign w:val="bottom"/>
            <w:hideMark/>
          </w:tcPr>
          <w:p w:rsidR="007F4193" w:rsidRPr="00224A46" w:rsidRDefault="007F4193" w:rsidP="00DC2903">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single" w:sz="8" w:space="0" w:color="auto"/>
            </w:tcBorders>
            <w:vAlign w:val="center"/>
            <w:hideMark/>
          </w:tcPr>
          <w:p w:rsidR="007F4193" w:rsidRPr="00224A46" w:rsidRDefault="007F4193" w:rsidP="00DC2903">
            <w:pPr>
              <w:widowControl/>
              <w:jc w:val="left"/>
              <w:rPr>
                <w:kern w:val="0"/>
                <w:sz w:val="20"/>
                <w:szCs w:val="20"/>
              </w:rPr>
            </w:pPr>
          </w:p>
        </w:tc>
        <w:tc>
          <w:tcPr>
            <w:tcW w:w="2372" w:type="dxa"/>
            <w:tcBorders>
              <w:top w:val="nil"/>
              <w:left w:val="nil"/>
              <w:bottom w:val="single" w:sz="8" w:space="0" w:color="auto"/>
              <w:right w:val="single" w:sz="8" w:space="0" w:color="000000"/>
            </w:tcBorders>
            <w:shd w:val="clear" w:color="000000" w:fill="D9D9D9"/>
            <w:noWrap/>
            <w:vAlign w:val="bottom"/>
            <w:hideMark/>
          </w:tcPr>
          <w:p w:rsidR="007F4193" w:rsidRPr="00224A46" w:rsidRDefault="007F4193" w:rsidP="00DC2903">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7F4193" w:rsidRPr="00224A46" w:rsidRDefault="007F4193" w:rsidP="00DC2903">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c>
          <w:tcPr>
            <w:tcW w:w="222" w:type="dxa"/>
            <w:vMerge/>
            <w:tcBorders>
              <w:top w:val="nil"/>
              <w:left w:val="nil"/>
              <w:bottom w:val="single" w:sz="8" w:space="0" w:color="000000"/>
              <w:right w:val="nil"/>
            </w:tcBorders>
            <w:vAlign w:val="center"/>
            <w:hideMark/>
          </w:tcPr>
          <w:p w:rsidR="007F4193" w:rsidRPr="00224A46" w:rsidRDefault="007F4193" w:rsidP="00DC2903">
            <w:pPr>
              <w:widowControl/>
              <w:jc w:val="left"/>
              <w:rPr>
                <w:kern w:val="0"/>
                <w:sz w:val="20"/>
                <w:szCs w:val="20"/>
              </w:rPr>
            </w:pPr>
          </w:p>
        </w:tc>
        <w:tc>
          <w:tcPr>
            <w:tcW w:w="1427" w:type="dxa"/>
            <w:tcBorders>
              <w:top w:val="nil"/>
              <w:left w:val="single" w:sz="8" w:space="0" w:color="auto"/>
              <w:bottom w:val="single" w:sz="8" w:space="0" w:color="auto"/>
              <w:right w:val="single" w:sz="8" w:space="0" w:color="000000"/>
            </w:tcBorders>
            <w:shd w:val="clear" w:color="000000" w:fill="D9D9D9"/>
            <w:noWrap/>
            <w:vAlign w:val="bottom"/>
            <w:hideMark/>
          </w:tcPr>
          <w:p w:rsidR="007F4193" w:rsidRPr="00224A46" w:rsidRDefault="007F4193" w:rsidP="00DC2903">
            <w:pPr>
              <w:widowControl/>
              <w:jc w:val="center"/>
              <w:rPr>
                <w:rFonts w:ascii="宋体" w:hAnsi="宋体" w:cs="宋体"/>
                <w:b/>
                <w:bCs/>
                <w:kern w:val="0"/>
                <w:sz w:val="18"/>
                <w:szCs w:val="18"/>
              </w:rPr>
            </w:pPr>
            <w:r w:rsidRPr="00224A46">
              <w:rPr>
                <w:rFonts w:ascii="宋体" w:hAnsi="宋体" w:cs="宋体" w:hint="eastAsia"/>
                <w:b/>
                <w:bCs/>
                <w:kern w:val="0"/>
                <w:sz w:val="18"/>
                <w:szCs w:val="18"/>
              </w:rPr>
              <w:t>样本基金</w:t>
            </w:r>
          </w:p>
        </w:tc>
        <w:tc>
          <w:tcPr>
            <w:tcW w:w="630" w:type="dxa"/>
            <w:tcBorders>
              <w:top w:val="nil"/>
              <w:left w:val="nil"/>
              <w:bottom w:val="single" w:sz="8" w:space="0" w:color="auto"/>
              <w:right w:val="single" w:sz="8" w:space="0" w:color="000000"/>
            </w:tcBorders>
            <w:shd w:val="clear" w:color="000000" w:fill="D9D9D9"/>
            <w:noWrap/>
            <w:vAlign w:val="bottom"/>
            <w:hideMark/>
          </w:tcPr>
          <w:p w:rsidR="007F4193" w:rsidRPr="00224A46" w:rsidRDefault="007F4193" w:rsidP="00DC2903">
            <w:pPr>
              <w:widowControl/>
              <w:jc w:val="center"/>
              <w:rPr>
                <w:rFonts w:ascii="宋体" w:hAnsi="宋体" w:cs="宋体"/>
                <w:b/>
                <w:bCs/>
                <w:kern w:val="0"/>
                <w:sz w:val="18"/>
                <w:szCs w:val="18"/>
              </w:rPr>
            </w:pPr>
            <w:r w:rsidRPr="00224A46">
              <w:rPr>
                <w:rFonts w:ascii="宋体" w:hAnsi="宋体" w:cs="宋体" w:hint="eastAsia"/>
                <w:b/>
                <w:bCs/>
                <w:kern w:val="0"/>
                <w:sz w:val="18"/>
                <w:szCs w:val="18"/>
              </w:rPr>
              <w:t>权重</w:t>
            </w:r>
          </w:p>
        </w:tc>
      </w:tr>
      <w:tr w:rsidR="007F4193" w:rsidTr="00DC290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银河成长</w:t>
            </w:r>
          </w:p>
        </w:tc>
        <w:tc>
          <w:tcPr>
            <w:tcW w:w="630" w:type="dxa"/>
            <w:tcBorders>
              <w:top w:val="nil"/>
              <w:left w:val="nil"/>
              <w:bottom w:val="single" w:sz="8" w:space="0" w:color="auto"/>
              <w:right w:val="single" w:sz="8" w:space="0" w:color="auto"/>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3</w:t>
            </w:r>
            <w:r w:rsidRPr="005B5148">
              <w:rPr>
                <w:rFonts w:ascii="宋体" w:hAnsi="宋体" w:cs="宋体" w:hint="eastAsia"/>
                <w:kern w:val="0"/>
                <w:sz w:val="18"/>
                <w:szCs w:val="18"/>
              </w:rPr>
              <w:t>0%</w:t>
            </w:r>
          </w:p>
        </w:tc>
        <w:tc>
          <w:tcPr>
            <w:tcW w:w="222" w:type="dxa"/>
            <w:vMerge/>
            <w:tcBorders>
              <w:top w:val="nil"/>
              <w:left w:val="nil"/>
              <w:bottom w:val="single" w:sz="8" w:space="0" w:color="000000"/>
              <w:right w:val="single" w:sz="8" w:space="0" w:color="auto"/>
            </w:tcBorders>
            <w:vAlign w:val="center"/>
            <w:hideMark/>
          </w:tcPr>
          <w:p w:rsidR="007F4193" w:rsidRPr="00224A46" w:rsidRDefault="007F4193" w:rsidP="00DC2903">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3C100F">
              <w:rPr>
                <w:rFonts w:ascii="宋体" w:hAnsi="宋体" w:cs="宋体" w:hint="eastAsia"/>
                <w:kern w:val="0"/>
                <w:sz w:val="18"/>
                <w:szCs w:val="18"/>
              </w:rPr>
              <w:t>博时标普500</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7F4193" w:rsidRPr="00224A46" w:rsidRDefault="007F4193" w:rsidP="00DC2903">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4193" w:rsidRDefault="007F4193" w:rsidP="00DC2903">
            <w:pPr>
              <w:jc w:val="center"/>
              <w:rPr>
                <w:rFonts w:ascii="宋体" w:hAnsi="宋体" w:cs="宋体"/>
                <w:sz w:val="18"/>
                <w:szCs w:val="18"/>
              </w:rPr>
            </w:pPr>
            <w:r>
              <w:rPr>
                <w:rFonts w:ascii="宋体" w:hAnsi="宋体" w:cs="宋体" w:hint="eastAsia"/>
                <w:kern w:val="0"/>
                <w:sz w:val="18"/>
                <w:szCs w:val="18"/>
              </w:rPr>
              <w:t>建信货币</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7F4193" w:rsidRDefault="007F4193" w:rsidP="00DC2903">
            <w:pPr>
              <w:jc w:val="center"/>
              <w:rPr>
                <w:rFonts w:ascii="宋体" w:hAnsi="宋体" w:cs="宋体"/>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r>
      <w:tr w:rsidR="007F4193" w:rsidRPr="00224A46" w:rsidTr="00DC290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375D93">
              <w:rPr>
                <w:rFonts w:hint="eastAsia"/>
                <w:sz w:val="18"/>
                <w:szCs w:val="18"/>
              </w:rPr>
              <w:t>添富价值</w:t>
            </w:r>
          </w:p>
        </w:tc>
        <w:tc>
          <w:tcPr>
            <w:tcW w:w="630" w:type="dxa"/>
            <w:tcBorders>
              <w:top w:val="nil"/>
              <w:left w:val="nil"/>
              <w:bottom w:val="single" w:sz="8" w:space="0" w:color="auto"/>
              <w:right w:val="single" w:sz="8" w:space="0" w:color="auto"/>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40</w:t>
            </w:r>
            <w:r w:rsidRPr="005B5148">
              <w:rPr>
                <w:rFonts w:ascii="宋体" w:hAnsi="宋体" w:cs="宋体" w:hint="eastAsia"/>
                <w:kern w:val="0"/>
                <w:sz w:val="18"/>
                <w:szCs w:val="18"/>
              </w:rPr>
              <w:t>%</w:t>
            </w:r>
          </w:p>
        </w:tc>
        <w:tc>
          <w:tcPr>
            <w:tcW w:w="222" w:type="dxa"/>
            <w:vMerge/>
            <w:tcBorders>
              <w:top w:val="nil"/>
              <w:left w:val="nil"/>
              <w:bottom w:val="single" w:sz="8" w:space="0" w:color="000000"/>
              <w:right w:val="single" w:sz="8" w:space="0" w:color="auto"/>
            </w:tcBorders>
            <w:vAlign w:val="center"/>
            <w:hideMark/>
          </w:tcPr>
          <w:p w:rsidR="007F4193" w:rsidRPr="00224A46" w:rsidRDefault="007F4193" w:rsidP="00DC2903">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37683F">
              <w:rPr>
                <w:rFonts w:ascii="宋体" w:hAnsi="宋体" w:cs="宋体" w:hint="eastAsia"/>
                <w:kern w:val="0"/>
                <w:sz w:val="18"/>
                <w:szCs w:val="18"/>
              </w:rPr>
              <w:t>添富价值</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5B5148">
              <w:rPr>
                <w:rFonts w:ascii="宋体" w:hAnsi="宋体" w:cs="宋体" w:hint="eastAsia"/>
                <w:kern w:val="0"/>
                <w:sz w:val="18"/>
                <w:szCs w:val="18"/>
              </w:rPr>
              <w:t>25%</w:t>
            </w:r>
          </w:p>
        </w:tc>
        <w:tc>
          <w:tcPr>
            <w:tcW w:w="222" w:type="dxa"/>
            <w:vMerge/>
            <w:tcBorders>
              <w:top w:val="nil"/>
              <w:left w:val="nil"/>
              <w:bottom w:val="single" w:sz="8" w:space="0" w:color="000000"/>
              <w:right w:val="nil"/>
            </w:tcBorders>
            <w:vAlign w:val="center"/>
            <w:hideMark/>
          </w:tcPr>
          <w:p w:rsidR="007F4193" w:rsidRPr="00224A46" w:rsidRDefault="007F4193" w:rsidP="00DC2903">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华夏现金</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5B5148">
              <w:rPr>
                <w:rFonts w:ascii="宋体" w:hAnsi="宋体" w:cs="宋体" w:hint="eastAsia"/>
                <w:kern w:val="0"/>
                <w:sz w:val="18"/>
                <w:szCs w:val="18"/>
              </w:rPr>
              <w:t>35%</w:t>
            </w:r>
          </w:p>
        </w:tc>
      </w:tr>
      <w:tr w:rsidR="007F4193" w:rsidRPr="00224A46" w:rsidTr="00DC2903">
        <w:trPr>
          <w:trHeight w:val="315"/>
          <w:jc w:val="center"/>
        </w:trPr>
        <w:tc>
          <w:tcPr>
            <w:tcW w:w="2301" w:type="dxa"/>
            <w:tcBorders>
              <w:top w:val="nil"/>
              <w:left w:val="single" w:sz="8" w:space="0" w:color="auto"/>
              <w:bottom w:val="single" w:sz="8" w:space="0" w:color="auto"/>
              <w:right w:val="single" w:sz="8" w:space="0" w:color="auto"/>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hint="eastAsia"/>
                <w:sz w:val="18"/>
                <w:szCs w:val="18"/>
              </w:rPr>
              <w:t>国泰纳斯达克</w:t>
            </w:r>
            <w:r>
              <w:rPr>
                <w:rFonts w:hint="eastAsia"/>
                <w:sz w:val="18"/>
                <w:szCs w:val="18"/>
              </w:rPr>
              <w:t>100</w:t>
            </w:r>
          </w:p>
        </w:tc>
        <w:tc>
          <w:tcPr>
            <w:tcW w:w="630" w:type="dxa"/>
            <w:tcBorders>
              <w:top w:val="nil"/>
              <w:left w:val="nil"/>
              <w:bottom w:val="single" w:sz="8" w:space="0" w:color="auto"/>
              <w:right w:val="single" w:sz="8" w:space="0" w:color="auto"/>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30</w:t>
            </w:r>
            <w:r w:rsidRPr="005B5148">
              <w:rPr>
                <w:rFonts w:ascii="宋体" w:hAnsi="宋体" w:cs="宋体" w:hint="eastAsia"/>
                <w:kern w:val="0"/>
                <w:sz w:val="18"/>
                <w:szCs w:val="18"/>
              </w:rPr>
              <w:t>%</w:t>
            </w:r>
          </w:p>
        </w:tc>
        <w:tc>
          <w:tcPr>
            <w:tcW w:w="222" w:type="dxa"/>
            <w:vMerge/>
            <w:tcBorders>
              <w:top w:val="nil"/>
              <w:left w:val="nil"/>
              <w:bottom w:val="single" w:sz="8" w:space="0" w:color="000000"/>
              <w:right w:val="single" w:sz="8" w:space="0" w:color="auto"/>
            </w:tcBorders>
            <w:vAlign w:val="center"/>
            <w:hideMark/>
          </w:tcPr>
          <w:p w:rsidR="007F4193" w:rsidRPr="00224A46" w:rsidRDefault="007F4193" w:rsidP="00DC2903">
            <w:pPr>
              <w:widowControl/>
              <w:jc w:val="left"/>
              <w:rPr>
                <w:kern w:val="0"/>
                <w:sz w:val="20"/>
                <w:szCs w:val="20"/>
              </w:rPr>
            </w:pPr>
          </w:p>
        </w:tc>
        <w:tc>
          <w:tcPr>
            <w:tcW w:w="2372"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天弘永利B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Pr>
                <w:rFonts w:ascii="宋体" w:hAnsi="宋体" w:cs="宋体" w:hint="eastAsia"/>
                <w:kern w:val="0"/>
                <w:sz w:val="18"/>
                <w:szCs w:val="18"/>
              </w:rPr>
              <w:t>5</w:t>
            </w:r>
            <w:r w:rsidRPr="005B5148">
              <w:rPr>
                <w:rFonts w:ascii="宋体" w:hAnsi="宋体" w:cs="宋体" w:hint="eastAsia"/>
                <w:kern w:val="0"/>
                <w:sz w:val="18"/>
                <w:szCs w:val="18"/>
              </w:rPr>
              <w:t>0%</w:t>
            </w:r>
          </w:p>
        </w:tc>
        <w:tc>
          <w:tcPr>
            <w:tcW w:w="222" w:type="dxa"/>
            <w:vMerge/>
            <w:tcBorders>
              <w:top w:val="nil"/>
              <w:left w:val="nil"/>
              <w:bottom w:val="single" w:sz="8" w:space="0" w:color="000000"/>
              <w:right w:val="nil"/>
            </w:tcBorders>
            <w:vAlign w:val="center"/>
            <w:hideMark/>
          </w:tcPr>
          <w:p w:rsidR="007F4193" w:rsidRPr="00224A46" w:rsidRDefault="007F4193" w:rsidP="00DC2903">
            <w:pPr>
              <w:widowControl/>
              <w:jc w:val="left"/>
              <w:rPr>
                <w:kern w:val="0"/>
                <w:sz w:val="20"/>
                <w:szCs w:val="20"/>
              </w:rPr>
            </w:pPr>
          </w:p>
        </w:tc>
        <w:tc>
          <w:tcPr>
            <w:tcW w:w="14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17543C">
              <w:rPr>
                <w:rFonts w:ascii="宋体" w:hAnsi="宋体" w:cs="宋体" w:hint="eastAsia"/>
                <w:kern w:val="0"/>
                <w:sz w:val="18"/>
                <w:szCs w:val="18"/>
              </w:rPr>
              <w:t>广发货币B</w:t>
            </w:r>
          </w:p>
        </w:tc>
        <w:tc>
          <w:tcPr>
            <w:tcW w:w="630" w:type="dxa"/>
            <w:tcBorders>
              <w:top w:val="single" w:sz="8" w:space="0" w:color="auto"/>
              <w:left w:val="nil"/>
              <w:bottom w:val="single" w:sz="8" w:space="0" w:color="auto"/>
              <w:right w:val="single" w:sz="8" w:space="0" w:color="000000"/>
            </w:tcBorders>
            <w:shd w:val="clear" w:color="auto" w:fill="auto"/>
            <w:noWrap/>
            <w:vAlign w:val="bottom"/>
            <w:hideMark/>
          </w:tcPr>
          <w:p w:rsidR="007F4193" w:rsidRPr="00224A46" w:rsidRDefault="007F4193" w:rsidP="00DC2903">
            <w:pPr>
              <w:widowControl/>
              <w:jc w:val="center"/>
              <w:rPr>
                <w:rFonts w:ascii="宋体" w:hAnsi="宋体" w:cs="宋体"/>
                <w:kern w:val="0"/>
                <w:sz w:val="18"/>
                <w:szCs w:val="18"/>
              </w:rPr>
            </w:pPr>
            <w:r w:rsidRPr="005B5148">
              <w:rPr>
                <w:rFonts w:ascii="宋体" w:hAnsi="宋体" w:cs="宋体" w:hint="eastAsia"/>
                <w:kern w:val="0"/>
                <w:sz w:val="18"/>
                <w:szCs w:val="18"/>
              </w:rPr>
              <w:t>3</w:t>
            </w:r>
            <w:r>
              <w:rPr>
                <w:rFonts w:ascii="宋体" w:hAnsi="宋体" w:cs="宋体" w:hint="eastAsia"/>
                <w:kern w:val="0"/>
                <w:sz w:val="18"/>
                <w:szCs w:val="18"/>
              </w:rPr>
              <w:t>5</w:t>
            </w:r>
            <w:r w:rsidRPr="005B5148">
              <w:rPr>
                <w:rFonts w:ascii="宋体" w:hAnsi="宋体" w:cs="宋体" w:hint="eastAsia"/>
                <w:kern w:val="0"/>
                <w:sz w:val="18"/>
                <w:szCs w:val="18"/>
              </w:rPr>
              <w:t>%</w:t>
            </w:r>
          </w:p>
        </w:tc>
      </w:tr>
    </w:tbl>
    <w:p w:rsidR="00E948C6" w:rsidRDefault="00E948C6" w:rsidP="00E948C6">
      <w:pPr>
        <w:keepLines/>
        <w:adjustRightInd w:val="0"/>
        <w:snapToGrid w:val="0"/>
        <w:jc w:val="left"/>
        <w:rPr>
          <w:rFonts w:ascii="楷体_GB2312" w:eastAsia="楷体_GB2312"/>
          <w:noProof/>
        </w:rPr>
      </w:pPr>
      <w:r>
        <w:rPr>
          <w:rFonts w:ascii="楷体_GB2312" w:eastAsia="楷体_GB2312" w:hint="eastAsia"/>
          <w:noProof/>
        </w:rPr>
        <w:t>注：数据截至</w:t>
      </w:r>
      <w:r w:rsidRPr="00CD771C">
        <w:rPr>
          <w:rFonts w:ascii="楷体_GB2312" w:eastAsia="楷体_GB2312" w:hint="eastAsia"/>
          <w:noProof/>
        </w:rPr>
        <w:t>201</w:t>
      </w:r>
      <w:r w:rsidR="00BD5DC9">
        <w:rPr>
          <w:rFonts w:ascii="楷体_GB2312" w:eastAsia="楷体_GB2312" w:hint="eastAsia"/>
          <w:noProof/>
        </w:rPr>
        <w:t>4</w:t>
      </w:r>
      <w:r w:rsidRPr="00CD771C">
        <w:rPr>
          <w:rFonts w:ascii="楷体_GB2312" w:eastAsia="楷体_GB2312" w:hint="eastAsia"/>
          <w:noProof/>
        </w:rPr>
        <w:t>年</w:t>
      </w:r>
      <w:r w:rsidR="00493ABD">
        <w:rPr>
          <w:rFonts w:ascii="楷体_GB2312" w:eastAsia="楷体_GB2312" w:hint="eastAsia"/>
          <w:noProof/>
        </w:rPr>
        <w:t>3</w:t>
      </w:r>
      <w:r w:rsidRPr="00CD771C">
        <w:rPr>
          <w:rFonts w:ascii="楷体_GB2312" w:eastAsia="楷体_GB2312" w:hint="eastAsia"/>
          <w:noProof/>
        </w:rPr>
        <w:t>月</w:t>
      </w:r>
      <w:r w:rsidR="00EC4546">
        <w:rPr>
          <w:rFonts w:ascii="楷体_GB2312" w:eastAsia="楷体_GB2312" w:hint="eastAsia"/>
          <w:noProof/>
        </w:rPr>
        <w:t>31</w:t>
      </w:r>
      <w:r w:rsidRPr="00CD771C">
        <w:rPr>
          <w:rFonts w:ascii="楷体_GB2312" w:eastAsia="楷体_GB2312" w:hint="eastAsia"/>
          <w:noProof/>
        </w:rPr>
        <w:t>日</w:t>
      </w:r>
      <w:r>
        <w:rPr>
          <w:rFonts w:ascii="楷体_GB2312" w:eastAsia="楷体_GB2312" w:hint="eastAsia"/>
          <w:noProof/>
        </w:rPr>
        <w:t>,组合于2011年2</w:t>
      </w:r>
      <w:r w:rsidR="007475A5">
        <w:rPr>
          <w:rFonts w:ascii="楷体_GB2312" w:eastAsia="楷体_GB2312" w:hint="eastAsia"/>
          <w:noProof/>
        </w:rPr>
        <w:t>月</w:t>
      </w:r>
      <w:r w:rsidR="00493ABD">
        <w:rPr>
          <w:rFonts w:ascii="楷体_GB2312" w:eastAsia="楷体_GB2312" w:hint="eastAsia"/>
          <w:noProof/>
        </w:rPr>
        <w:t>1日</w:t>
      </w:r>
      <w:r w:rsidR="007475A5">
        <w:rPr>
          <w:rFonts w:ascii="楷体_GB2312" w:eastAsia="楷体_GB2312" w:hint="eastAsia"/>
          <w:noProof/>
        </w:rPr>
        <w:t>设立</w:t>
      </w:r>
      <w:r w:rsidR="00C24609">
        <w:rPr>
          <w:rFonts w:ascii="楷体_GB2312" w:eastAsia="楷体_GB2312" w:hint="eastAsia"/>
          <w:noProof/>
        </w:rPr>
        <w:t>。</w:t>
      </w:r>
    </w:p>
    <w:p w:rsidR="00E948C6" w:rsidRPr="003D06B4" w:rsidRDefault="00E948C6" w:rsidP="00E948C6">
      <w:pPr>
        <w:rPr>
          <w:rFonts w:ascii="楷体_GB2312" w:eastAsia="楷体_GB2312"/>
          <w:b/>
          <w:noProof/>
        </w:rPr>
      </w:pPr>
      <w:r>
        <w:rPr>
          <w:rFonts w:ascii="楷体_GB2312" w:eastAsia="楷体_GB2312" w:hint="eastAsia"/>
          <w:b/>
          <w:noProof/>
        </w:rPr>
        <w:t>上海证券基金推荐组合</w:t>
      </w:r>
      <w:r w:rsidRPr="003D06B4">
        <w:rPr>
          <w:rFonts w:ascii="楷体_GB2312" w:eastAsia="楷体_GB2312" w:hint="eastAsia"/>
          <w:b/>
          <w:noProof/>
        </w:rPr>
        <w:t>业绩比较基准</w:t>
      </w:r>
      <w:r>
        <w:rPr>
          <w:rFonts w:ascii="楷体_GB2312" w:eastAsia="楷体_GB2312" w:hint="eastAsia"/>
          <w:b/>
          <w:noProof/>
        </w:rPr>
        <w:t>：</w:t>
      </w:r>
    </w:p>
    <w:p w:rsidR="00E948C6" w:rsidRPr="00960590" w:rsidRDefault="00E948C6" w:rsidP="00E948C6">
      <w:pPr>
        <w:rPr>
          <w:rFonts w:ascii="楷体_GB2312" w:eastAsia="楷体_GB2312"/>
          <w:noProof/>
        </w:rPr>
      </w:pPr>
      <w:r w:rsidRPr="00960590">
        <w:rPr>
          <w:rFonts w:ascii="楷体_GB2312" w:eastAsia="楷体_GB2312" w:hint="eastAsia"/>
          <w:noProof/>
        </w:rPr>
        <w:t>积极型组合</w:t>
      </w:r>
      <w:r>
        <w:rPr>
          <w:rFonts w:ascii="楷体_GB2312" w:eastAsia="楷体_GB2312" w:hint="eastAsia"/>
          <w:noProof/>
        </w:rPr>
        <w:t>：</w:t>
      </w:r>
      <w:r w:rsidRPr="00960590">
        <w:rPr>
          <w:rFonts w:ascii="楷体_GB2312" w:eastAsia="楷体_GB2312" w:hint="eastAsia"/>
          <w:noProof/>
        </w:rPr>
        <w:t>主动投资偏股型基金整体；</w:t>
      </w:r>
    </w:p>
    <w:p w:rsidR="00E948C6" w:rsidRPr="00960590" w:rsidRDefault="00E948C6" w:rsidP="00E948C6">
      <w:pPr>
        <w:rPr>
          <w:rFonts w:ascii="楷体_GB2312" w:eastAsia="楷体_GB2312"/>
          <w:noProof/>
        </w:rPr>
      </w:pPr>
      <w:r w:rsidRPr="00960590">
        <w:rPr>
          <w:rFonts w:ascii="楷体_GB2312" w:eastAsia="楷体_GB2312" w:hint="eastAsia"/>
          <w:noProof/>
        </w:rPr>
        <w:t>平衡型</w:t>
      </w:r>
      <w:r>
        <w:rPr>
          <w:rFonts w:ascii="楷体_GB2312" w:eastAsia="楷体_GB2312" w:hint="eastAsia"/>
          <w:noProof/>
        </w:rPr>
        <w:t>组合：</w:t>
      </w:r>
      <w:r w:rsidRPr="00960590">
        <w:rPr>
          <w:rFonts w:ascii="楷体_GB2312" w:eastAsia="楷体_GB2312" w:hint="eastAsia"/>
          <w:noProof/>
        </w:rPr>
        <w:t>50%主动投资偏股型基金+50%债券型基金；</w:t>
      </w:r>
    </w:p>
    <w:p w:rsidR="00E948C6" w:rsidRPr="00960590" w:rsidRDefault="00E948C6" w:rsidP="00E948C6">
      <w:pPr>
        <w:rPr>
          <w:rFonts w:ascii="楷体_GB2312" w:eastAsia="楷体_GB2312"/>
          <w:noProof/>
        </w:rPr>
      </w:pPr>
      <w:r w:rsidRPr="00960590">
        <w:rPr>
          <w:rFonts w:ascii="楷体_GB2312" w:eastAsia="楷体_GB2312" w:hint="eastAsia"/>
          <w:noProof/>
        </w:rPr>
        <w:t>稳健型</w:t>
      </w:r>
      <w:r>
        <w:rPr>
          <w:rFonts w:ascii="楷体_GB2312" w:eastAsia="楷体_GB2312" w:hint="eastAsia"/>
          <w:noProof/>
        </w:rPr>
        <w:t>组合：</w:t>
      </w:r>
      <w:r w:rsidRPr="00960590">
        <w:rPr>
          <w:rFonts w:ascii="楷体_GB2312" w:eastAsia="楷体_GB2312" w:hint="eastAsia"/>
          <w:noProof/>
        </w:rPr>
        <w:t>一年定期存款利率</w:t>
      </w:r>
      <w:r>
        <w:rPr>
          <w:rFonts w:ascii="楷体_GB2312" w:eastAsia="楷体_GB2312" w:hint="eastAsia"/>
          <w:noProof/>
        </w:rPr>
        <w:t>。</w:t>
      </w:r>
    </w:p>
    <w:p w:rsidR="00C8243E" w:rsidRPr="00394675" w:rsidRDefault="00C8243E" w:rsidP="00C8243E">
      <w:pPr>
        <w:pageBreakBefore/>
        <w:spacing w:line="400" w:lineRule="exact"/>
        <w:jc w:val="left"/>
        <w:rPr>
          <w:rFonts w:eastAsia="楷体_GB2312"/>
          <w:b/>
          <w:bCs/>
          <w:color w:val="003366"/>
          <w:szCs w:val="21"/>
        </w:rPr>
      </w:pPr>
      <w:r w:rsidRPr="00394675">
        <w:rPr>
          <w:rFonts w:eastAsia="楷体_GB2312"/>
          <w:b/>
          <w:bCs/>
          <w:color w:val="003366"/>
          <w:szCs w:val="21"/>
        </w:rPr>
        <w:lastRenderedPageBreak/>
        <w:t>分析师承诺</w:t>
      </w:r>
    </w:p>
    <w:p w:rsidR="00C8243E" w:rsidRPr="00394675" w:rsidRDefault="00C8243E" w:rsidP="00DC2903">
      <w:pPr>
        <w:spacing w:beforeLines="50"/>
        <w:rPr>
          <w:rFonts w:eastAsia="楷体_GB2312"/>
          <w:sz w:val="18"/>
          <w:szCs w:val="18"/>
        </w:rPr>
      </w:pPr>
      <w:r w:rsidRPr="00394675">
        <w:rPr>
          <w:rFonts w:eastAsia="楷体_GB2312"/>
          <w:sz w:val="18"/>
          <w:szCs w:val="18"/>
        </w:rPr>
        <w:t>分析师</w:t>
      </w:r>
      <w:r w:rsidR="003957E9">
        <w:rPr>
          <w:rFonts w:eastAsia="楷体_GB2312" w:hint="eastAsia"/>
          <w:sz w:val="18"/>
          <w:szCs w:val="18"/>
        </w:rPr>
        <w:t xml:space="preserve"> </w:t>
      </w:r>
      <w:r>
        <w:rPr>
          <w:rFonts w:eastAsia="楷体_GB2312" w:hint="eastAsia"/>
          <w:sz w:val="18"/>
          <w:szCs w:val="18"/>
        </w:rPr>
        <w:t>刘亦千</w:t>
      </w:r>
    </w:p>
    <w:p w:rsidR="00C8243E" w:rsidRPr="00653644" w:rsidRDefault="00C8243E" w:rsidP="00C8243E">
      <w:pPr>
        <w:spacing w:line="300" w:lineRule="exact"/>
        <w:rPr>
          <w:rFonts w:ascii="楷体_GB2312" w:eastAsia="楷体_GB2312"/>
          <w:color w:val="000000"/>
          <w:sz w:val="18"/>
          <w:szCs w:val="18"/>
        </w:rPr>
      </w:pPr>
      <w:r w:rsidRPr="00653644">
        <w:rPr>
          <w:rFonts w:ascii="楷体_GB2312" w:eastAsia="楷体_GB2312" w:hint="eastAsia"/>
          <w:color w:val="000000"/>
          <w:sz w:val="18"/>
          <w:szCs w:val="18"/>
        </w:rPr>
        <w:t>本人</w:t>
      </w:r>
      <w:r>
        <w:rPr>
          <w:rFonts w:ascii="楷体_GB2312" w:eastAsia="楷体_GB2312" w:hint="eastAsia"/>
          <w:color w:val="000000"/>
          <w:sz w:val="18"/>
          <w:szCs w:val="18"/>
        </w:rPr>
        <w:t>以勤勉尽责的职业态度，独立、客观地出具本报告。本报告依据公开的信息来源，力求清晰、准确地反映分析师的研究观点。此外，本人薪酬的任何部分过去不曾与、现在不与、未来也将不会与本报告中的具体推荐意见或观点直接或间接相关。</w:t>
      </w:r>
    </w:p>
    <w:p w:rsidR="00C8243E" w:rsidRDefault="00C8243E" w:rsidP="00C8243E">
      <w:pPr>
        <w:spacing w:line="400" w:lineRule="exact"/>
        <w:jc w:val="left"/>
        <w:rPr>
          <w:rFonts w:ascii="楷体_GB2312" w:eastAsia="楷体_GB2312" w:hAnsi="Arial" w:cs="Arial"/>
          <w:b/>
          <w:bCs/>
          <w:color w:val="FF6600"/>
          <w:szCs w:val="21"/>
        </w:rPr>
      </w:pPr>
    </w:p>
    <w:p w:rsidR="00693B26" w:rsidRDefault="00693B26" w:rsidP="00693B26">
      <w:pPr>
        <w:spacing w:line="400" w:lineRule="exact"/>
        <w:jc w:val="left"/>
        <w:rPr>
          <w:rFonts w:ascii="楷体_GB2312" w:eastAsia="楷体_GB2312" w:hAnsi="Arial" w:cs="Arial"/>
          <w:b/>
          <w:bCs/>
          <w:color w:val="003366"/>
          <w:szCs w:val="21"/>
        </w:rPr>
      </w:pPr>
      <w:r>
        <w:rPr>
          <w:rFonts w:ascii="楷体_GB2312" w:eastAsia="楷体_GB2312" w:hAnsi="Arial" w:cs="Arial" w:hint="eastAsia"/>
          <w:b/>
          <w:bCs/>
          <w:color w:val="003366"/>
          <w:szCs w:val="21"/>
        </w:rPr>
        <w:t>公司业务资格说明</w:t>
      </w:r>
    </w:p>
    <w:p w:rsidR="00693B26" w:rsidRPr="00867DF5" w:rsidRDefault="00693B26" w:rsidP="00693B26">
      <w:pPr>
        <w:spacing w:line="400" w:lineRule="exact"/>
        <w:jc w:val="left"/>
        <w:rPr>
          <w:rFonts w:ascii="楷体_GB2312" w:eastAsia="楷体_GB2312"/>
          <w:color w:val="000000"/>
          <w:sz w:val="18"/>
          <w:szCs w:val="18"/>
        </w:rPr>
      </w:pPr>
      <w:r w:rsidRPr="00867DF5">
        <w:rPr>
          <w:rFonts w:ascii="楷体_GB2312" w:eastAsia="楷体_GB2312" w:hint="eastAsia"/>
          <w:color w:val="000000"/>
          <w:sz w:val="18"/>
          <w:szCs w:val="18"/>
        </w:rPr>
        <w:t>本公司具备证券投资咨询业务资格，是具备协会会员资格的基金评价机构</w:t>
      </w:r>
      <w:r>
        <w:rPr>
          <w:rFonts w:ascii="楷体_GB2312" w:eastAsia="楷体_GB2312" w:hint="eastAsia"/>
          <w:color w:val="000000"/>
          <w:sz w:val="18"/>
          <w:szCs w:val="18"/>
        </w:rPr>
        <w:t>。</w:t>
      </w:r>
    </w:p>
    <w:p w:rsidR="00693B26" w:rsidRDefault="00693B26" w:rsidP="00693B26">
      <w:pPr>
        <w:spacing w:line="400" w:lineRule="exact"/>
        <w:jc w:val="left"/>
        <w:rPr>
          <w:rFonts w:ascii="楷体_GB2312" w:eastAsia="楷体_GB2312" w:hAnsi="Arial" w:cs="Arial"/>
          <w:b/>
          <w:bCs/>
          <w:color w:val="003366"/>
          <w:szCs w:val="21"/>
        </w:rPr>
      </w:pPr>
    </w:p>
    <w:p w:rsidR="00693B26" w:rsidRPr="008F1970" w:rsidRDefault="00693B26" w:rsidP="00693B26">
      <w:pPr>
        <w:spacing w:line="400" w:lineRule="exact"/>
        <w:jc w:val="left"/>
        <w:rPr>
          <w:rFonts w:ascii="楷体_GB2312" w:eastAsia="楷体_GB2312" w:hAnsi="Arial" w:cs="Arial"/>
          <w:b/>
          <w:bCs/>
          <w:color w:val="003366"/>
          <w:szCs w:val="21"/>
        </w:rPr>
      </w:pPr>
      <w:r>
        <w:rPr>
          <w:rFonts w:ascii="楷体_GB2312" w:eastAsia="楷体_GB2312" w:hAnsi="Arial" w:cs="Arial" w:hint="eastAsia"/>
          <w:b/>
          <w:bCs/>
          <w:color w:val="003366"/>
          <w:szCs w:val="21"/>
        </w:rPr>
        <w:t>重要声明</w:t>
      </w:r>
    </w:p>
    <w:p w:rsidR="00693B26" w:rsidRPr="00427DD5" w:rsidRDefault="00693B26" w:rsidP="00693B26">
      <w:pPr>
        <w:spacing w:line="300" w:lineRule="exact"/>
        <w:rPr>
          <w:rFonts w:ascii="楷体_GB2312" w:eastAsia="楷体_GB2312"/>
          <w:color w:val="000000"/>
          <w:sz w:val="18"/>
          <w:szCs w:val="18"/>
        </w:rPr>
      </w:pPr>
      <w:r w:rsidRPr="00427DD5">
        <w:rPr>
          <w:rFonts w:ascii="楷体_GB2312" w:eastAsia="楷体_GB2312" w:hint="eastAsia"/>
          <w:color w:val="000000"/>
          <w:sz w:val="18"/>
          <w:szCs w:val="18"/>
        </w:rPr>
        <w:t>本报告中的信息均来源于已公开的资料，我公司对这些信息的准确性及完整性不作任何保证，不保证该信息未经任何更新，也不保证本公司作出的任何建议不会发生任何变更。在任何情况下，报告中的信息或所表达的意见并不构成所述证券买卖的出价或询价。在任何情况下，我公司不就本报告中的任何内容对任何投资作出任何形式的担保。我公司及其关联机构可能会持有报告中提到的公司所发行的证券并进行交易，还可能为这些公司提供或争取提供投资银行或财务顾问服务。业绩表现数据仅代表过去的表现，不保证未来结果。投资收益和本金将随市场波动，当出售证券资产时可能发生损益。当前的表现可能会高于或低于那时引用的数据。</w:t>
      </w:r>
    </w:p>
    <w:p w:rsidR="00693B26" w:rsidRPr="00427DD5" w:rsidRDefault="00693B26" w:rsidP="00693B26">
      <w:pPr>
        <w:spacing w:line="300" w:lineRule="exact"/>
        <w:rPr>
          <w:rFonts w:ascii="楷体_GB2312" w:eastAsia="楷体_GB2312"/>
          <w:sz w:val="18"/>
          <w:szCs w:val="18"/>
        </w:rPr>
      </w:pPr>
      <w:r w:rsidRPr="00427DD5">
        <w:rPr>
          <w:rFonts w:ascii="楷体_GB2312" w:eastAsia="楷体_GB2312" w:hint="eastAsia"/>
          <w:color w:val="000000"/>
          <w:sz w:val="18"/>
          <w:szCs w:val="18"/>
        </w:rPr>
        <w:t>本报告版权归上海证券有限责任公司所有。未获得上海证券有限责任公司事先书面授权，任何人不得对本报告进行任何形式的发布、复制。如遵循原文本意地引用、刊发，需注明出处为“上海证券基金评价研究中心”。</w:t>
      </w:r>
    </w:p>
    <w:p w:rsidR="00BE3940" w:rsidRPr="00693B26" w:rsidRDefault="00BE3940" w:rsidP="00BE3940">
      <w:pPr>
        <w:spacing w:line="300" w:lineRule="exact"/>
        <w:rPr>
          <w:rFonts w:ascii="楷体_GB2312" w:eastAsia="楷体_GB2312"/>
          <w:sz w:val="18"/>
          <w:szCs w:val="18"/>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p w:rsidR="00BE3940" w:rsidRDefault="00BE3940" w:rsidP="00BE3940">
      <w:pPr>
        <w:spacing w:line="400" w:lineRule="exact"/>
        <w:jc w:val="left"/>
        <w:rPr>
          <w:rFonts w:ascii="楷体_GB2312" w:eastAsia="楷体_GB2312" w:hAnsi="Arial" w:cs="Arial"/>
          <w:b/>
          <w:bCs/>
          <w:color w:val="FF6600"/>
          <w:szCs w:val="21"/>
        </w:rPr>
      </w:pPr>
    </w:p>
    <w:sectPr w:rsidR="00BE3940" w:rsidSect="00362A1B">
      <w:headerReference w:type="default" r:id="rId32"/>
      <w:pgSz w:w="11906" w:h="16838"/>
      <w:pgMar w:top="1418" w:right="1133"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82" w:rsidRDefault="000D6382">
      <w:r>
        <w:separator/>
      </w:r>
    </w:p>
  </w:endnote>
  <w:endnote w:type="continuationSeparator" w:id="0">
    <w:p w:rsidR="000D6382" w:rsidRDefault="000D6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18030">
    <w:altName w:val="宋体"/>
    <w:charset w:val="86"/>
    <w:family w:val="modern"/>
    <w:pitch w:val="fixed"/>
    <w:sig w:usb0="800022A7" w:usb1="880F3C78" w:usb2="000A005E"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3" w:rsidRDefault="00DC2903" w:rsidP="00BE3940">
    <w:pPr>
      <w:pStyle w:val="a5"/>
      <w:framePr w:wrap="around" w:vAnchor="text" w:hAnchor="margin" w:xAlign="right" w:y="1"/>
      <w:rPr>
        <w:rStyle w:val="a7"/>
      </w:rPr>
    </w:pPr>
    <w:r>
      <w:rPr>
        <w:rStyle w:val="a7"/>
        <w:noProof/>
      </w:rPr>
      <w:t>1</w:t>
    </w:r>
  </w:p>
  <w:p w:rsidR="00DC2903" w:rsidRDefault="00DC2903" w:rsidP="00BE394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3" w:rsidRDefault="00DC2903" w:rsidP="00BE3940">
    <w:pPr>
      <w:pStyle w:val="a5"/>
      <w:framePr w:wrap="around" w:vAnchor="text" w:hAnchor="margin" w:xAlign="right" w:y="1"/>
      <w:rPr>
        <w:rStyle w:val="a7"/>
      </w:rPr>
    </w:pPr>
    <w:r>
      <w:rPr>
        <w:rStyle w:val="a7"/>
        <w:noProof/>
      </w:rPr>
      <w:t>1</w:t>
    </w:r>
  </w:p>
  <w:p w:rsidR="00DC2903" w:rsidRDefault="00DC2903" w:rsidP="00BE3940">
    <w:pPr>
      <w:pStyle w:val="a5"/>
      <w:ind w:right="360"/>
    </w:pPr>
    <w:r>
      <w:rPr>
        <w:noProof/>
      </w:rPr>
      <w:pict>
        <v:shapetype id="_x0000_t202" coordsize="21600,21600" o:spt="202" path="m,l,21600r21600,l21600,xe">
          <v:stroke joinstyle="miter"/>
          <v:path gradientshapeok="t" o:connecttype="rect"/>
        </v:shapetype>
        <v:shape id="_x0000_s2049" type="#_x0000_t202" style="position:absolute;margin-left:28.8pt;margin-top:772.9pt;width:513.45pt;height:18pt;z-index:251656704;mso-position-horizontal-relative:page;mso-position-vertical-relative:page" filled="f" stroked="f">
          <v:textbox style="mso-next-textbox:#_x0000_s2049" inset="0,0,0,0">
            <w:txbxContent>
              <w:p w:rsidR="00DC2903" w:rsidRPr="00FB139B" w:rsidRDefault="00DC2903" w:rsidP="00BE3940">
                <w:pPr>
                  <w:pBdr>
                    <w:top w:val="single" w:sz="4" w:space="3" w:color="auto"/>
                  </w:pBdr>
                  <w:topLinePunct/>
                  <w:spacing w:line="200" w:lineRule="exact"/>
                  <w:rPr>
                    <w:rFonts w:ascii="楷体_GB2312" w:eastAsia="楷体_GB2312"/>
                    <w:color w:val="003366"/>
                    <w:szCs w:val="21"/>
                  </w:rPr>
                </w:pPr>
                <w:r w:rsidRPr="00FB139B">
                  <w:rPr>
                    <w:rFonts w:ascii="楷体_GB2312" w:eastAsia="楷体_GB2312" w:hint="eastAsia"/>
                    <w:b/>
                    <w:color w:val="003366"/>
                    <w:szCs w:val="21"/>
                  </w:rPr>
                  <w:t>重要提示：</w:t>
                </w:r>
                <w:r w:rsidRPr="00EF283B">
                  <w:rPr>
                    <w:rFonts w:ascii="楷体_GB2312" w:eastAsia="楷体_GB2312" w:hint="eastAsia"/>
                    <w:b/>
                    <w:color w:val="003366"/>
                    <w:szCs w:val="21"/>
                  </w:rPr>
                  <w:t>请务必阅读尾页分析师承诺和免责条款</w:t>
                </w:r>
                <w:r w:rsidRPr="00FB139B">
                  <w:rPr>
                    <w:rFonts w:ascii="楷体_GB2312" w:eastAsia="楷体_GB2312" w:hint="eastAsia"/>
                    <w:color w:val="003366"/>
                    <w:szCs w:val="2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82" w:rsidRDefault="000D6382">
      <w:r>
        <w:separator/>
      </w:r>
    </w:p>
  </w:footnote>
  <w:footnote w:type="continuationSeparator" w:id="0">
    <w:p w:rsidR="000D6382" w:rsidRDefault="000D6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3" w:rsidRPr="0010121A" w:rsidRDefault="00DC2903">
    <w:pPr>
      <w:pStyle w:val="a4"/>
      <w:rPr>
        <w:rFonts w:ascii="楷体_GB2312" w:eastAsia="楷体_GB2312"/>
        <w:b/>
        <w:color w:val="333399"/>
        <w:sz w:val="21"/>
        <w:szCs w:val="21"/>
      </w:rPr>
    </w:pPr>
    <w:r>
      <w:rPr>
        <w:rFonts w:ascii="楷体_GB2312" w:eastAsia="楷体_GB2312" w:hint="eastAsia"/>
        <w:b/>
        <w:color w:val="333399"/>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03" w:rsidRPr="00935FC9" w:rsidRDefault="00DC2903" w:rsidP="00CE0CE6">
    <w:pPr>
      <w:pStyle w:val="a4"/>
      <w:jc w:val="left"/>
      <w:rPr>
        <w:rFonts w:ascii="楷体_GB2312" w:eastAsia="楷体_GB2312"/>
        <w:b/>
        <w:color w:val="333399"/>
        <w:sz w:val="24"/>
        <w:szCs w:val="24"/>
      </w:rPr>
    </w:pPr>
    <w:r w:rsidRPr="00292759">
      <w:rPr>
        <w:rFonts w:ascii="楷体_GB2312" w:eastAsia="楷体_GB2312"/>
        <w:b/>
        <w:noProof/>
        <w:color w:val="003366"/>
        <w:sz w:val="21"/>
        <w:szCs w:val="21"/>
      </w:rPr>
      <w:pict>
        <v:line id="_x0000_s2054" style="position:absolute;z-index:251658752" from="70.1pt,20.55pt" to="459pt,20.55pt" strokecolor="#036" strokeweight="1.5pt"/>
      </w:pict>
    </w:r>
    <w:r>
      <w:rPr>
        <w:rFonts w:ascii="楷体_GB2312" w:eastAsia="楷体_GB2312" w:hint="eastAsia"/>
        <w:b/>
        <w:noProof/>
        <w:color w:val="003366"/>
        <w:sz w:val="21"/>
        <w:szCs w:val="21"/>
      </w:rPr>
      <w:drawing>
        <wp:inline distT="0" distB="0" distL="0" distR="0">
          <wp:extent cx="905510" cy="241300"/>
          <wp:effectExtent l="19050" t="0" r="8890" b="0"/>
          <wp:docPr id="9" name="图片 9" descr="ye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mei"/>
                  <pic:cNvPicPr>
                    <a:picLocks noChangeAspect="1" noChangeArrowheads="1"/>
                  </pic:cNvPicPr>
                </pic:nvPicPr>
                <pic:blipFill>
                  <a:blip r:embed="rId1"/>
                  <a:srcRect/>
                  <a:stretch>
                    <a:fillRect/>
                  </a:stretch>
                </pic:blipFill>
                <pic:spPr bwMode="auto">
                  <a:xfrm>
                    <a:off x="0" y="0"/>
                    <a:ext cx="905510" cy="241300"/>
                  </a:xfrm>
                  <a:prstGeom prst="rect">
                    <a:avLst/>
                  </a:prstGeom>
                  <a:noFill/>
                  <a:ln w="9525">
                    <a:noFill/>
                    <a:miter lim="800000"/>
                    <a:headEnd/>
                    <a:tailEnd/>
                  </a:ln>
                </pic:spPr>
              </pic:pic>
            </a:graphicData>
          </a:graphic>
        </wp:inline>
      </w:drawing>
    </w:r>
    <w:r w:rsidRPr="00292759">
      <w:rPr>
        <w:rFonts w:ascii="楷体_GB2312" w:eastAsia="楷体_GB2312"/>
        <w:b/>
        <w:noProof/>
        <w:color w:val="333399"/>
        <w:sz w:val="21"/>
        <w:szCs w:val="21"/>
      </w:rPr>
      <w:pict>
        <v:shapetype id="_x0000_t202" coordsize="21600,21600" o:spt="202" path="m,l,21600r21600,l21600,xe">
          <v:stroke joinstyle="miter"/>
          <v:path gradientshapeok="t" o:connecttype="rect"/>
        </v:shapetype>
        <v:shape id="_x0000_s2055" type="#_x0000_t202" style="position:absolute;margin-left:-189pt;margin-top:-2.85pt;width:89.25pt;height:30.1pt;z-index:251657728;mso-wrap-style:none;mso-position-horizontal-relative:text;mso-position-vertical-relative:text" stroked="f">
          <v:textbox style="mso-next-textbox:#_x0000_s2055;mso-fit-shape-to-text:t">
            <w:txbxContent>
              <w:p w:rsidR="00DC2903" w:rsidRDefault="00DC2903">
                <w:r>
                  <w:rPr>
                    <w:noProof/>
                  </w:rPr>
                  <w:drawing>
                    <wp:inline distT="0" distB="0" distL="0" distR="0">
                      <wp:extent cx="948690" cy="293370"/>
                      <wp:effectExtent l="1905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948690" cy="293370"/>
                              </a:xfrm>
                              <a:prstGeom prst="rect">
                                <a:avLst/>
                              </a:prstGeom>
                              <a:noFill/>
                              <a:ln w="9525">
                                <a:noFill/>
                                <a:miter lim="800000"/>
                                <a:headEnd/>
                                <a:tailEnd/>
                              </a:ln>
                            </pic:spPr>
                          </pic:pic>
                        </a:graphicData>
                      </a:graphic>
                    </wp:inline>
                  </w:drawing>
                </w:r>
              </w:p>
            </w:txbxContent>
          </v:textbox>
        </v:shape>
      </w:pict>
    </w:r>
    <w:r>
      <w:rPr>
        <w:rFonts w:ascii="楷体_GB2312" w:eastAsia="楷体_GB2312" w:hint="eastAsia"/>
        <w:b/>
        <w:color w:val="333399"/>
        <w:sz w:val="21"/>
        <w:szCs w:val="21"/>
      </w:rPr>
      <w:t xml:space="preserve"> </w:t>
    </w:r>
    <w:r w:rsidRPr="00935FC9">
      <w:rPr>
        <w:rFonts w:ascii="楷体_GB2312" w:eastAsia="楷体_GB2312" w:hint="eastAsia"/>
        <w:b/>
        <w:color w:val="333399"/>
        <w:sz w:val="24"/>
        <w:szCs w:val="24"/>
      </w:rPr>
      <w:t xml:space="preserve">   </w:t>
    </w:r>
    <w:r>
      <w:rPr>
        <w:rFonts w:ascii="楷体_GB2312" w:eastAsia="楷体_GB2312" w:hint="eastAsia"/>
        <w:b/>
        <w:color w:val="333399"/>
        <w:sz w:val="24"/>
        <w:szCs w:val="24"/>
      </w:rPr>
      <w:t xml:space="preserve">         </w:t>
    </w:r>
    <w:r w:rsidRPr="00935FC9">
      <w:rPr>
        <w:rFonts w:ascii="楷体_GB2312" w:eastAsia="楷体_GB2312" w:hint="eastAsia"/>
        <w:b/>
        <w:color w:val="333399"/>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173"/>
    <w:multiLevelType w:val="hybridMultilevel"/>
    <w:tmpl w:val="03680652"/>
    <w:lvl w:ilvl="0" w:tplc="B3C40B68">
      <w:start w:val="1"/>
      <w:numFmt w:val="japaneseCounting"/>
      <w:lvlText w:val="%1、"/>
      <w:lvlJc w:val="left"/>
      <w:pPr>
        <w:tabs>
          <w:tab w:val="num" w:pos="3555"/>
        </w:tabs>
        <w:ind w:left="3555" w:hanging="720"/>
      </w:pPr>
      <w:rPr>
        <w:rFonts w:hint="default"/>
      </w:rPr>
    </w:lvl>
    <w:lvl w:ilvl="1" w:tplc="04090019" w:tentative="1">
      <w:start w:val="1"/>
      <w:numFmt w:val="lowerLetter"/>
      <w:lvlText w:val="%2)"/>
      <w:lvlJc w:val="left"/>
      <w:pPr>
        <w:tabs>
          <w:tab w:val="num" w:pos="3675"/>
        </w:tabs>
        <w:ind w:left="3675" w:hanging="420"/>
      </w:pPr>
    </w:lvl>
    <w:lvl w:ilvl="2" w:tplc="0409001B" w:tentative="1">
      <w:start w:val="1"/>
      <w:numFmt w:val="lowerRoman"/>
      <w:lvlText w:val="%3."/>
      <w:lvlJc w:val="righ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9" w:tentative="1">
      <w:start w:val="1"/>
      <w:numFmt w:val="lowerLetter"/>
      <w:lvlText w:val="%5)"/>
      <w:lvlJc w:val="left"/>
      <w:pPr>
        <w:tabs>
          <w:tab w:val="num" w:pos="4935"/>
        </w:tabs>
        <w:ind w:left="4935" w:hanging="420"/>
      </w:pPr>
    </w:lvl>
    <w:lvl w:ilvl="5" w:tplc="0409001B" w:tentative="1">
      <w:start w:val="1"/>
      <w:numFmt w:val="lowerRoman"/>
      <w:lvlText w:val="%6."/>
      <w:lvlJc w:val="righ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9" w:tentative="1">
      <w:start w:val="1"/>
      <w:numFmt w:val="lowerLetter"/>
      <w:lvlText w:val="%8)"/>
      <w:lvlJc w:val="left"/>
      <w:pPr>
        <w:tabs>
          <w:tab w:val="num" w:pos="6195"/>
        </w:tabs>
        <w:ind w:left="6195" w:hanging="420"/>
      </w:pPr>
    </w:lvl>
    <w:lvl w:ilvl="8" w:tplc="0409001B" w:tentative="1">
      <w:start w:val="1"/>
      <w:numFmt w:val="lowerRoman"/>
      <w:lvlText w:val="%9."/>
      <w:lvlJc w:val="right"/>
      <w:pPr>
        <w:tabs>
          <w:tab w:val="num" w:pos="6615"/>
        </w:tabs>
        <w:ind w:left="6615" w:hanging="420"/>
      </w:pPr>
    </w:lvl>
  </w:abstractNum>
  <w:abstractNum w:abstractNumId="1">
    <w:nsid w:val="293D56C2"/>
    <w:multiLevelType w:val="multilevel"/>
    <w:tmpl w:val="03680652"/>
    <w:lvl w:ilvl="0">
      <w:start w:val="1"/>
      <w:numFmt w:val="japaneseCounting"/>
      <w:lvlText w:val="%1、"/>
      <w:lvlJc w:val="left"/>
      <w:pPr>
        <w:tabs>
          <w:tab w:val="num" w:pos="3555"/>
        </w:tabs>
        <w:ind w:left="3555" w:hanging="720"/>
      </w:pPr>
      <w:rPr>
        <w:rFonts w:hint="default"/>
      </w:rPr>
    </w:lvl>
    <w:lvl w:ilvl="1">
      <w:start w:val="1"/>
      <w:numFmt w:val="lowerLetter"/>
      <w:lvlText w:val="%2)"/>
      <w:lvlJc w:val="left"/>
      <w:pPr>
        <w:tabs>
          <w:tab w:val="num" w:pos="3675"/>
        </w:tabs>
        <w:ind w:left="3675" w:hanging="420"/>
      </w:pPr>
    </w:lvl>
    <w:lvl w:ilvl="2">
      <w:start w:val="1"/>
      <w:numFmt w:val="lowerRoman"/>
      <w:lvlText w:val="%3."/>
      <w:lvlJc w:val="right"/>
      <w:pPr>
        <w:tabs>
          <w:tab w:val="num" w:pos="4095"/>
        </w:tabs>
        <w:ind w:left="4095" w:hanging="420"/>
      </w:pPr>
    </w:lvl>
    <w:lvl w:ilvl="3">
      <w:start w:val="1"/>
      <w:numFmt w:val="decimal"/>
      <w:lvlText w:val="%4."/>
      <w:lvlJc w:val="left"/>
      <w:pPr>
        <w:tabs>
          <w:tab w:val="num" w:pos="4515"/>
        </w:tabs>
        <w:ind w:left="4515" w:hanging="420"/>
      </w:pPr>
    </w:lvl>
    <w:lvl w:ilvl="4">
      <w:start w:val="1"/>
      <w:numFmt w:val="lowerLetter"/>
      <w:lvlText w:val="%5)"/>
      <w:lvlJc w:val="left"/>
      <w:pPr>
        <w:tabs>
          <w:tab w:val="num" w:pos="4935"/>
        </w:tabs>
        <w:ind w:left="4935" w:hanging="420"/>
      </w:pPr>
    </w:lvl>
    <w:lvl w:ilvl="5">
      <w:start w:val="1"/>
      <w:numFmt w:val="lowerRoman"/>
      <w:lvlText w:val="%6."/>
      <w:lvlJc w:val="right"/>
      <w:pPr>
        <w:tabs>
          <w:tab w:val="num" w:pos="5355"/>
        </w:tabs>
        <w:ind w:left="5355" w:hanging="420"/>
      </w:pPr>
    </w:lvl>
    <w:lvl w:ilvl="6">
      <w:start w:val="1"/>
      <w:numFmt w:val="decimal"/>
      <w:lvlText w:val="%7."/>
      <w:lvlJc w:val="left"/>
      <w:pPr>
        <w:tabs>
          <w:tab w:val="num" w:pos="5775"/>
        </w:tabs>
        <w:ind w:left="5775" w:hanging="420"/>
      </w:pPr>
    </w:lvl>
    <w:lvl w:ilvl="7">
      <w:start w:val="1"/>
      <w:numFmt w:val="lowerLetter"/>
      <w:lvlText w:val="%8)"/>
      <w:lvlJc w:val="left"/>
      <w:pPr>
        <w:tabs>
          <w:tab w:val="num" w:pos="6195"/>
        </w:tabs>
        <w:ind w:left="6195" w:hanging="420"/>
      </w:pPr>
    </w:lvl>
    <w:lvl w:ilvl="8">
      <w:start w:val="1"/>
      <w:numFmt w:val="lowerRoman"/>
      <w:lvlText w:val="%9."/>
      <w:lvlJc w:val="right"/>
      <w:pPr>
        <w:tabs>
          <w:tab w:val="num" w:pos="6615"/>
        </w:tabs>
        <w:ind w:left="6615" w:hanging="420"/>
      </w:pPr>
    </w:lvl>
  </w:abstractNum>
  <w:abstractNum w:abstractNumId="2">
    <w:nsid w:val="2A070CE6"/>
    <w:multiLevelType w:val="hybridMultilevel"/>
    <w:tmpl w:val="03680652"/>
    <w:lvl w:ilvl="0" w:tplc="B3C40B68">
      <w:start w:val="1"/>
      <w:numFmt w:val="japaneseCounting"/>
      <w:pStyle w:val="ParaChar"/>
      <w:lvlText w:val="%1、"/>
      <w:lvlJc w:val="left"/>
      <w:pPr>
        <w:tabs>
          <w:tab w:val="num" w:pos="3555"/>
        </w:tabs>
        <w:ind w:left="3555" w:hanging="720"/>
      </w:pPr>
      <w:rPr>
        <w:rFonts w:hint="default"/>
      </w:rPr>
    </w:lvl>
    <w:lvl w:ilvl="1" w:tplc="04090019" w:tentative="1">
      <w:start w:val="1"/>
      <w:numFmt w:val="lowerLetter"/>
      <w:lvlText w:val="%2)"/>
      <w:lvlJc w:val="left"/>
      <w:pPr>
        <w:tabs>
          <w:tab w:val="num" w:pos="3675"/>
        </w:tabs>
        <w:ind w:left="3675" w:hanging="420"/>
      </w:pPr>
    </w:lvl>
    <w:lvl w:ilvl="2" w:tplc="0409001B" w:tentative="1">
      <w:start w:val="1"/>
      <w:numFmt w:val="lowerRoman"/>
      <w:lvlText w:val="%3."/>
      <w:lvlJc w:val="righ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9" w:tentative="1">
      <w:start w:val="1"/>
      <w:numFmt w:val="lowerLetter"/>
      <w:lvlText w:val="%5)"/>
      <w:lvlJc w:val="left"/>
      <w:pPr>
        <w:tabs>
          <w:tab w:val="num" w:pos="4935"/>
        </w:tabs>
        <w:ind w:left="4935" w:hanging="420"/>
      </w:pPr>
    </w:lvl>
    <w:lvl w:ilvl="5" w:tplc="0409001B" w:tentative="1">
      <w:start w:val="1"/>
      <w:numFmt w:val="lowerRoman"/>
      <w:lvlText w:val="%6."/>
      <w:lvlJc w:val="righ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9" w:tentative="1">
      <w:start w:val="1"/>
      <w:numFmt w:val="lowerLetter"/>
      <w:lvlText w:val="%8)"/>
      <w:lvlJc w:val="left"/>
      <w:pPr>
        <w:tabs>
          <w:tab w:val="num" w:pos="6195"/>
        </w:tabs>
        <w:ind w:left="6195" w:hanging="420"/>
      </w:pPr>
    </w:lvl>
    <w:lvl w:ilvl="8" w:tplc="0409001B" w:tentative="1">
      <w:start w:val="1"/>
      <w:numFmt w:val="lowerRoman"/>
      <w:lvlText w:val="%9."/>
      <w:lvlJc w:val="right"/>
      <w:pPr>
        <w:tabs>
          <w:tab w:val="num" w:pos="6615"/>
        </w:tabs>
        <w:ind w:left="6615" w:hanging="420"/>
      </w:pPr>
    </w:lvl>
  </w:abstractNum>
  <w:abstractNum w:abstractNumId="3">
    <w:nsid w:val="31E25EFD"/>
    <w:multiLevelType w:val="hybridMultilevel"/>
    <w:tmpl w:val="A90A8370"/>
    <w:lvl w:ilvl="0" w:tplc="63787446">
      <w:start w:val="1"/>
      <w:numFmt w:val="bullet"/>
      <w:lvlText w:val=""/>
      <w:lvlJc w:val="left"/>
      <w:pPr>
        <w:tabs>
          <w:tab w:val="num" w:pos="420"/>
        </w:tabs>
        <w:ind w:left="420" w:hanging="420"/>
      </w:pPr>
      <w:rPr>
        <w:rFonts w:ascii="Wingdings" w:hAnsi="Wingdings" w:hint="default"/>
        <w:color w:val="003366"/>
      </w:rPr>
    </w:lvl>
    <w:lvl w:ilvl="1" w:tplc="318E7592" w:tentative="1">
      <w:start w:val="1"/>
      <w:numFmt w:val="bullet"/>
      <w:lvlText w:val=""/>
      <w:lvlJc w:val="left"/>
      <w:pPr>
        <w:tabs>
          <w:tab w:val="num" w:pos="840"/>
        </w:tabs>
        <w:ind w:left="840" w:hanging="420"/>
      </w:pPr>
      <w:rPr>
        <w:rFonts w:ascii="Wingdings" w:hAnsi="Wingdings" w:hint="default"/>
      </w:rPr>
    </w:lvl>
    <w:lvl w:ilvl="2" w:tplc="DB9447D4" w:tentative="1">
      <w:start w:val="1"/>
      <w:numFmt w:val="bullet"/>
      <w:lvlText w:val=""/>
      <w:lvlJc w:val="left"/>
      <w:pPr>
        <w:tabs>
          <w:tab w:val="num" w:pos="1260"/>
        </w:tabs>
        <w:ind w:left="1260" w:hanging="420"/>
      </w:pPr>
      <w:rPr>
        <w:rFonts w:ascii="Wingdings" w:hAnsi="Wingdings" w:hint="default"/>
      </w:rPr>
    </w:lvl>
    <w:lvl w:ilvl="3" w:tplc="EF2866D2" w:tentative="1">
      <w:start w:val="1"/>
      <w:numFmt w:val="bullet"/>
      <w:lvlText w:val=""/>
      <w:lvlJc w:val="left"/>
      <w:pPr>
        <w:tabs>
          <w:tab w:val="num" w:pos="1680"/>
        </w:tabs>
        <w:ind w:left="1680" w:hanging="420"/>
      </w:pPr>
      <w:rPr>
        <w:rFonts w:ascii="Wingdings" w:hAnsi="Wingdings" w:hint="default"/>
      </w:rPr>
    </w:lvl>
    <w:lvl w:ilvl="4" w:tplc="0E56385C" w:tentative="1">
      <w:start w:val="1"/>
      <w:numFmt w:val="bullet"/>
      <w:lvlText w:val=""/>
      <w:lvlJc w:val="left"/>
      <w:pPr>
        <w:tabs>
          <w:tab w:val="num" w:pos="2100"/>
        </w:tabs>
        <w:ind w:left="2100" w:hanging="420"/>
      </w:pPr>
      <w:rPr>
        <w:rFonts w:ascii="Wingdings" w:hAnsi="Wingdings" w:hint="default"/>
      </w:rPr>
    </w:lvl>
    <w:lvl w:ilvl="5" w:tplc="79AC2510" w:tentative="1">
      <w:start w:val="1"/>
      <w:numFmt w:val="bullet"/>
      <w:lvlText w:val=""/>
      <w:lvlJc w:val="left"/>
      <w:pPr>
        <w:tabs>
          <w:tab w:val="num" w:pos="2520"/>
        </w:tabs>
        <w:ind w:left="2520" w:hanging="420"/>
      </w:pPr>
      <w:rPr>
        <w:rFonts w:ascii="Wingdings" w:hAnsi="Wingdings" w:hint="default"/>
      </w:rPr>
    </w:lvl>
    <w:lvl w:ilvl="6" w:tplc="505EA050" w:tentative="1">
      <w:start w:val="1"/>
      <w:numFmt w:val="bullet"/>
      <w:lvlText w:val=""/>
      <w:lvlJc w:val="left"/>
      <w:pPr>
        <w:tabs>
          <w:tab w:val="num" w:pos="2940"/>
        </w:tabs>
        <w:ind w:left="2940" w:hanging="420"/>
      </w:pPr>
      <w:rPr>
        <w:rFonts w:ascii="Wingdings" w:hAnsi="Wingdings" w:hint="default"/>
      </w:rPr>
    </w:lvl>
    <w:lvl w:ilvl="7" w:tplc="B9D00E26" w:tentative="1">
      <w:start w:val="1"/>
      <w:numFmt w:val="bullet"/>
      <w:lvlText w:val=""/>
      <w:lvlJc w:val="left"/>
      <w:pPr>
        <w:tabs>
          <w:tab w:val="num" w:pos="3360"/>
        </w:tabs>
        <w:ind w:left="3360" w:hanging="420"/>
      </w:pPr>
      <w:rPr>
        <w:rFonts w:ascii="Wingdings" w:hAnsi="Wingdings" w:hint="default"/>
      </w:rPr>
    </w:lvl>
    <w:lvl w:ilvl="8" w:tplc="16A63F48" w:tentative="1">
      <w:start w:val="1"/>
      <w:numFmt w:val="bullet"/>
      <w:lvlText w:val=""/>
      <w:lvlJc w:val="left"/>
      <w:pPr>
        <w:tabs>
          <w:tab w:val="num" w:pos="3780"/>
        </w:tabs>
        <w:ind w:left="3780" w:hanging="420"/>
      </w:pPr>
      <w:rPr>
        <w:rFonts w:ascii="Wingdings" w:hAnsi="Wingdings" w:hint="default"/>
      </w:rPr>
    </w:lvl>
  </w:abstractNum>
  <w:abstractNum w:abstractNumId="4">
    <w:nsid w:val="45F20624"/>
    <w:multiLevelType w:val="hybridMultilevel"/>
    <w:tmpl w:val="EEAE34C4"/>
    <w:lvl w:ilvl="0" w:tplc="F6EA0C6C">
      <w:numFmt w:val="bullet"/>
      <w:lvlText w:val="★"/>
      <w:lvlJc w:val="left"/>
      <w:pPr>
        <w:ind w:left="360" w:hanging="360"/>
      </w:pPr>
      <w:rPr>
        <w:rFonts w:ascii="楷体_GB2312" w:eastAsia="楷体_GB2312" w:hAnsi="宋体" w:cs="宋体"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A5E3680"/>
    <w:multiLevelType w:val="hybridMultilevel"/>
    <w:tmpl w:val="8976F2B8"/>
    <w:lvl w:ilvl="0" w:tplc="3BAA5164">
      <w:start w:val="1"/>
      <w:numFmt w:val="bullet"/>
      <w:pStyle w:val="a"/>
      <w:lvlText w:val=""/>
      <w:lvlJc w:val="left"/>
      <w:pPr>
        <w:tabs>
          <w:tab w:val="num" w:pos="420"/>
        </w:tabs>
        <w:ind w:left="420" w:hanging="420"/>
      </w:pPr>
      <w:rPr>
        <w:rFonts w:ascii="Wingdings" w:hAnsi="Wingdings" w:hint="default"/>
        <w:color w:val="FF6600"/>
      </w:rPr>
    </w:lvl>
    <w:lvl w:ilvl="1" w:tplc="04090003" w:tentative="1">
      <w:start w:val="1"/>
      <w:numFmt w:val="bullet"/>
      <w:lvlText w:val=""/>
      <w:lvlJc w:val="left"/>
      <w:pPr>
        <w:tabs>
          <w:tab w:val="num" w:pos="630"/>
        </w:tabs>
        <w:ind w:left="630" w:hanging="420"/>
      </w:pPr>
      <w:rPr>
        <w:rFonts w:ascii="Wingdings" w:hAnsi="Wingdings" w:hint="default"/>
      </w:rPr>
    </w:lvl>
    <w:lvl w:ilvl="2" w:tplc="04090005"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3" w:tentative="1">
      <w:start w:val="1"/>
      <w:numFmt w:val="bullet"/>
      <w:lvlText w:val=""/>
      <w:lvlJc w:val="left"/>
      <w:pPr>
        <w:tabs>
          <w:tab w:val="num" w:pos="1890"/>
        </w:tabs>
        <w:ind w:left="1890" w:hanging="420"/>
      </w:pPr>
      <w:rPr>
        <w:rFonts w:ascii="Wingdings" w:hAnsi="Wingdings" w:hint="default"/>
      </w:rPr>
    </w:lvl>
    <w:lvl w:ilvl="5" w:tplc="04090005"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3" w:tentative="1">
      <w:start w:val="1"/>
      <w:numFmt w:val="bullet"/>
      <w:lvlText w:val=""/>
      <w:lvlJc w:val="left"/>
      <w:pPr>
        <w:tabs>
          <w:tab w:val="num" w:pos="3150"/>
        </w:tabs>
        <w:ind w:left="3150" w:hanging="420"/>
      </w:pPr>
      <w:rPr>
        <w:rFonts w:ascii="Wingdings" w:hAnsi="Wingdings" w:hint="default"/>
      </w:rPr>
    </w:lvl>
    <w:lvl w:ilvl="8" w:tplc="04090005" w:tentative="1">
      <w:start w:val="1"/>
      <w:numFmt w:val="bullet"/>
      <w:lvlText w:val=""/>
      <w:lvlJc w:val="left"/>
      <w:pPr>
        <w:tabs>
          <w:tab w:val="num" w:pos="3570"/>
        </w:tabs>
        <w:ind w:left="3570" w:hanging="420"/>
      </w:pPr>
      <w:rPr>
        <w:rFonts w:ascii="Wingdings" w:hAnsi="Wingdings" w:hint="default"/>
      </w:rPr>
    </w:lvl>
  </w:abstractNum>
  <w:abstractNum w:abstractNumId="6">
    <w:nsid w:val="7E1A10C2"/>
    <w:multiLevelType w:val="hybridMultilevel"/>
    <w:tmpl w:val="33A219AA"/>
    <w:lvl w:ilvl="0" w:tplc="A38A7AD4">
      <w:start w:val="1"/>
      <w:numFmt w:val="bullet"/>
      <w:lvlText w:val=""/>
      <w:lvlJc w:val="left"/>
      <w:pPr>
        <w:tabs>
          <w:tab w:val="num" w:pos="425"/>
        </w:tabs>
        <w:ind w:left="425" w:hanging="425"/>
      </w:pPr>
      <w:rPr>
        <w:rFonts w:ascii="Wingdings" w:hAnsi="Wingdings" w:hint="default"/>
        <w:color w:val="003366"/>
      </w:rPr>
    </w:lvl>
    <w:lvl w:ilvl="1" w:tplc="9A60056E" w:tentative="1">
      <w:start w:val="1"/>
      <w:numFmt w:val="bullet"/>
      <w:lvlText w:val=""/>
      <w:lvlJc w:val="left"/>
      <w:pPr>
        <w:tabs>
          <w:tab w:val="num" w:pos="840"/>
        </w:tabs>
        <w:ind w:left="840" w:hanging="420"/>
      </w:pPr>
      <w:rPr>
        <w:rFonts w:ascii="Wingdings" w:hAnsi="Wingdings" w:hint="default"/>
      </w:rPr>
    </w:lvl>
    <w:lvl w:ilvl="2" w:tplc="8BEC58DE" w:tentative="1">
      <w:start w:val="1"/>
      <w:numFmt w:val="bullet"/>
      <w:lvlText w:val=""/>
      <w:lvlJc w:val="left"/>
      <w:pPr>
        <w:tabs>
          <w:tab w:val="num" w:pos="1260"/>
        </w:tabs>
        <w:ind w:left="1260" w:hanging="420"/>
      </w:pPr>
      <w:rPr>
        <w:rFonts w:ascii="Wingdings" w:hAnsi="Wingdings" w:hint="default"/>
      </w:rPr>
    </w:lvl>
    <w:lvl w:ilvl="3" w:tplc="C9B83B34" w:tentative="1">
      <w:start w:val="1"/>
      <w:numFmt w:val="bullet"/>
      <w:lvlText w:val=""/>
      <w:lvlJc w:val="left"/>
      <w:pPr>
        <w:tabs>
          <w:tab w:val="num" w:pos="1680"/>
        </w:tabs>
        <w:ind w:left="1680" w:hanging="420"/>
      </w:pPr>
      <w:rPr>
        <w:rFonts w:ascii="Wingdings" w:hAnsi="Wingdings" w:hint="default"/>
      </w:rPr>
    </w:lvl>
    <w:lvl w:ilvl="4" w:tplc="C64E2148" w:tentative="1">
      <w:start w:val="1"/>
      <w:numFmt w:val="bullet"/>
      <w:lvlText w:val=""/>
      <w:lvlJc w:val="left"/>
      <w:pPr>
        <w:tabs>
          <w:tab w:val="num" w:pos="2100"/>
        </w:tabs>
        <w:ind w:left="2100" w:hanging="420"/>
      </w:pPr>
      <w:rPr>
        <w:rFonts w:ascii="Wingdings" w:hAnsi="Wingdings" w:hint="default"/>
      </w:rPr>
    </w:lvl>
    <w:lvl w:ilvl="5" w:tplc="2A5C8172" w:tentative="1">
      <w:start w:val="1"/>
      <w:numFmt w:val="bullet"/>
      <w:lvlText w:val=""/>
      <w:lvlJc w:val="left"/>
      <w:pPr>
        <w:tabs>
          <w:tab w:val="num" w:pos="2520"/>
        </w:tabs>
        <w:ind w:left="2520" w:hanging="420"/>
      </w:pPr>
      <w:rPr>
        <w:rFonts w:ascii="Wingdings" w:hAnsi="Wingdings" w:hint="default"/>
      </w:rPr>
    </w:lvl>
    <w:lvl w:ilvl="6" w:tplc="88B4F5E0" w:tentative="1">
      <w:start w:val="1"/>
      <w:numFmt w:val="bullet"/>
      <w:lvlText w:val=""/>
      <w:lvlJc w:val="left"/>
      <w:pPr>
        <w:tabs>
          <w:tab w:val="num" w:pos="2940"/>
        </w:tabs>
        <w:ind w:left="2940" w:hanging="420"/>
      </w:pPr>
      <w:rPr>
        <w:rFonts w:ascii="Wingdings" w:hAnsi="Wingdings" w:hint="default"/>
      </w:rPr>
    </w:lvl>
    <w:lvl w:ilvl="7" w:tplc="17E63E7E" w:tentative="1">
      <w:start w:val="1"/>
      <w:numFmt w:val="bullet"/>
      <w:lvlText w:val=""/>
      <w:lvlJc w:val="left"/>
      <w:pPr>
        <w:tabs>
          <w:tab w:val="num" w:pos="3360"/>
        </w:tabs>
        <w:ind w:left="3360" w:hanging="420"/>
      </w:pPr>
      <w:rPr>
        <w:rFonts w:ascii="Wingdings" w:hAnsi="Wingdings" w:hint="default"/>
      </w:rPr>
    </w:lvl>
    <w:lvl w:ilvl="8" w:tplc="D2520B0C"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688"/>
    <w:rsid w:val="00000536"/>
    <w:rsid w:val="00000AD4"/>
    <w:rsid w:val="00000E9F"/>
    <w:rsid w:val="000044F4"/>
    <w:rsid w:val="00005BE8"/>
    <w:rsid w:val="0000648E"/>
    <w:rsid w:val="000106CA"/>
    <w:rsid w:val="0001113C"/>
    <w:rsid w:val="0001127B"/>
    <w:rsid w:val="000129DA"/>
    <w:rsid w:val="000131EA"/>
    <w:rsid w:val="0001321E"/>
    <w:rsid w:val="0001469B"/>
    <w:rsid w:val="000157C0"/>
    <w:rsid w:val="00016CEE"/>
    <w:rsid w:val="00016D23"/>
    <w:rsid w:val="000174A7"/>
    <w:rsid w:val="000202BA"/>
    <w:rsid w:val="00021FBC"/>
    <w:rsid w:val="00022534"/>
    <w:rsid w:val="000238F6"/>
    <w:rsid w:val="00023DD5"/>
    <w:rsid w:val="000246CA"/>
    <w:rsid w:val="00024B12"/>
    <w:rsid w:val="000258AD"/>
    <w:rsid w:val="00025F5B"/>
    <w:rsid w:val="000274E7"/>
    <w:rsid w:val="00027789"/>
    <w:rsid w:val="00027E1E"/>
    <w:rsid w:val="0003081E"/>
    <w:rsid w:val="00030B24"/>
    <w:rsid w:val="00030BAB"/>
    <w:rsid w:val="00030D7F"/>
    <w:rsid w:val="00030F4D"/>
    <w:rsid w:val="000314BE"/>
    <w:rsid w:val="00031764"/>
    <w:rsid w:val="000322EF"/>
    <w:rsid w:val="000327E3"/>
    <w:rsid w:val="0003301C"/>
    <w:rsid w:val="000331E5"/>
    <w:rsid w:val="0003332D"/>
    <w:rsid w:val="00034BC1"/>
    <w:rsid w:val="00035714"/>
    <w:rsid w:val="00035A3C"/>
    <w:rsid w:val="00037269"/>
    <w:rsid w:val="00041A04"/>
    <w:rsid w:val="00042120"/>
    <w:rsid w:val="00042CAA"/>
    <w:rsid w:val="0004318E"/>
    <w:rsid w:val="000440AF"/>
    <w:rsid w:val="00046606"/>
    <w:rsid w:val="0004775B"/>
    <w:rsid w:val="00047AF8"/>
    <w:rsid w:val="00050159"/>
    <w:rsid w:val="0005024E"/>
    <w:rsid w:val="0005043F"/>
    <w:rsid w:val="00050ED4"/>
    <w:rsid w:val="0005103B"/>
    <w:rsid w:val="00052F7F"/>
    <w:rsid w:val="00053075"/>
    <w:rsid w:val="000534E5"/>
    <w:rsid w:val="0005399B"/>
    <w:rsid w:val="00053B65"/>
    <w:rsid w:val="0005451D"/>
    <w:rsid w:val="00055F5A"/>
    <w:rsid w:val="00057986"/>
    <w:rsid w:val="00057C80"/>
    <w:rsid w:val="0006016E"/>
    <w:rsid w:val="0006046B"/>
    <w:rsid w:val="00060998"/>
    <w:rsid w:val="00060F37"/>
    <w:rsid w:val="00061549"/>
    <w:rsid w:val="0006308E"/>
    <w:rsid w:val="00063307"/>
    <w:rsid w:val="000633FA"/>
    <w:rsid w:val="00063AC0"/>
    <w:rsid w:val="00064025"/>
    <w:rsid w:val="00064639"/>
    <w:rsid w:val="00065A74"/>
    <w:rsid w:val="00065D61"/>
    <w:rsid w:val="0006601F"/>
    <w:rsid w:val="000665F7"/>
    <w:rsid w:val="00067072"/>
    <w:rsid w:val="000679F2"/>
    <w:rsid w:val="00067EE7"/>
    <w:rsid w:val="0007081F"/>
    <w:rsid w:val="000709F3"/>
    <w:rsid w:val="0007102E"/>
    <w:rsid w:val="000730BF"/>
    <w:rsid w:val="00073837"/>
    <w:rsid w:val="00073A20"/>
    <w:rsid w:val="00074C34"/>
    <w:rsid w:val="000753A8"/>
    <w:rsid w:val="00075727"/>
    <w:rsid w:val="00075A47"/>
    <w:rsid w:val="00075DEA"/>
    <w:rsid w:val="000765F3"/>
    <w:rsid w:val="000772BD"/>
    <w:rsid w:val="000773C7"/>
    <w:rsid w:val="000803E1"/>
    <w:rsid w:val="0008073B"/>
    <w:rsid w:val="00080C6C"/>
    <w:rsid w:val="000823FE"/>
    <w:rsid w:val="00083230"/>
    <w:rsid w:val="00083340"/>
    <w:rsid w:val="000838AB"/>
    <w:rsid w:val="00083D28"/>
    <w:rsid w:val="000844AB"/>
    <w:rsid w:val="000844E3"/>
    <w:rsid w:val="00084813"/>
    <w:rsid w:val="00084F6B"/>
    <w:rsid w:val="0008663F"/>
    <w:rsid w:val="00087C65"/>
    <w:rsid w:val="000903CC"/>
    <w:rsid w:val="00091B9B"/>
    <w:rsid w:val="00092408"/>
    <w:rsid w:val="00093188"/>
    <w:rsid w:val="00093F2D"/>
    <w:rsid w:val="00095242"/>
    <w:rsid w:val="00095B04"/>
    <w:rsid w:val="00095C41"/>
    <w:rsid w:val="00096293"/>
    <w:rsid w:val="00096A58"/>
    <w:rsid w:val="00096FBA"/>
    <w:rsid w:val="000970EC"/>
    <w:rsid w:val="00097F4B"/>
    <w:rsid w:val="000A06A5"/>
    <w:rsid w:val="000A0CBC"/>
    <w:rsid w:val="000A0D9A"/>
    <w:rsid w:val="000A29F5"/>
    <w:rsid w:val="000A3362"/>
    <w:rsid w:val="000A390F"/>
    <w:rsid w:val="000A3FB9"/>
    <w:rsid w:val="000A5E65"/>
    <w:rsid w:val="000A6448"/>
    <w:rsid w:val="000A7E5D"/>
    <w:rsid w:val="000B0503"/>
    <w:rsid w:val="000B0573"/>
    <w:rsid w:val="000B0C95"/>
    <w:rsid w:val="000B3575"/>
    <w:rsid w:val="000B37D0"/>
    <w:rsid w:val="000B40AB"/>
    <w:rsid w:val="000B4882"/>
    <w:rsid w:val="000B488B"/>
    <w:rsid w:val="000B50D6"/>
    <w:rsid w:val="000B5ABE"/>
    <w:rsid w:val="000B6726"/>
    <w:rsid w:val="000B69C4"/>
    <w:rsid w:val="000B72A5"/>
    <w:rsid w:val="000C0C63"/>
    <w:rsid w:val="000C103A"/>
    <w:rsid w:val="000C10D1"/>
    <w:rsid w:val="000C15E5"/>
    <w:rsid w:val="000C18A0"/>
    <w:rsid w:val="000C19E7"/>
    <w:rsid w:val="000C24D4"/>
    <w:rsid w:val="000C3C4B"/>
    <w:rsid w:val="000C50F4"/>
    <w:rsid w:val="000C5348"/>
    <w:rsid w:val="000C56F5"/>
    <w:rsid w:val="000C67A7"/>
    <w:rsid w:val="000C6D2E"/>
    <w:rsid w:val="000C791B"/>
    <w:rsid w:val="000D09B6"/>
    <w:rsid w:val="000D141F"/>
    <w:rsid w:val="000D1B25"/>
    <w:rsid w:val="000D2EC7"/>
    <w:rsid w:val="000D518A"/>
    <w:rsid w:val="000D6382"/>
    <w:rsid w:val="000D6473"/>
    <w:rsid w:val="000D7492"/>
    <w:rsid w:val="000D76CD"/>
    <w:rsid w:val="000D787B"/>
    <w:rsid w:val="000D7E85"/>
    <w:rsid w:val="000E0AE9"/>
    <w:rsid w:val="000E1282"/>
    <w:rsid w:val="000E209A"/>
    <w:rsid w:val="000E2171"/>
    <w:rsid w:val="000E257F"/>
    <w:rsid w:val="000E2698"/>
    <w:rsid w:val="000E3D2E"/>
    <w:rsid w:val="000E41B8"/>
    <w:rsid w:val="000E4FF1"/>
    <w:rsid w:val="000E640F"/>
    <w:rsid w:val="000E6F1C"/>
    <w:rsid w:val="000E7BF8"/>
    <w:rsid w:val="000F03E0"/>
    <w:rsid w:val="000F0B66"/>
    <w:rsid w:val="000F0DFF"/>
    <w:rsid w:val="000F0EAA"/>
    <w:rsid w:val="000F35EA"/>
    <w:rsid w:val="000F3B44"/>
    <w:rsid w:val="000F4524"/>
    <w:rsid w:val="000F47BA"/>
    <w:rsid w:val="000F4D4B"/>
    <w:rsid w:val="000F6411"/>
    <w:rsid w:val="000F6EE1"/>
    <w:rsid w:val="000F7237"/>
    <w:rsid w:val="000F798B"/>
    <w:rsid w:val="000F7C7F"/>
    <w:rsid w:val="00100C8A"/>
    <w:rsid w:val="00102310"/>
    <w:rsid w:val="00102450"/>
    <w:rsid w:val="001026DB"/>
    <w:rsid w:val="00103390"/>
    <w:rsid w:val="00103762"/>
    <w:rsid w:val="00103A2B"/>
    <w:rsid w:val="00105F08"/>
    <w:rsid w:val="00110B48"/>
    <w:rsid w:val="001129F3"/>
    <w:rsid w:val="00112BF0"/>
    <w:rsid w:val="00112EB3"/>
    <w:rsid w:val="001130A2"/>
    <w:rsid w:val="00113CD9"/>
    <w:rsid w:val="00114C8D"/>
    <w:rsid w:val="00115273"/>
    <w:rsid w:val="001153EB"/>
    <w:rsid w:val="00115520"/>
    <w:rsid w:val="0011584C"/>
    <w:rsid w:val="00115CB5"/>
    <w:rsid w:val="00117050"/>
    <w:rsid w:val="001170FF"/>
    <w:rsid w:val="00117652"/>
    <w:rsid w:val="00121950"/>
    <w:rsid w:val="001224D9"/>
    <w:rsid w:val="0012296B"/>
    <w:rsid w:val="00122AC5"/>
    <w:rsid w:val="0012322E"/>
    <w:rsid w:val="001236F7"/>
    <w:rsid w:val="00123C08"/>
    <w:rsid w:val="00123D36"/>
    <w:rsid w:val="00123D74"/>
    <w:rsid w:val="0012476C"/>
    <w:rsid w:val="001256F5"/>
    <w:rsid w:val="001257DF"/>
    <w:rsid w:val="001265A1"/>
    <w:rsid w:val="0012674B"/>
    <w:rsid w:val="001268D9"/>
    <w:rsid w:val="00126966"/>
    <w:rsid w:val="001275F8"/>
    <w:rsid w:val="0013007A"/>
    <w:rsid w:val="00130869"/>
    <w:rsid w:val="00130E8B"/>
    <w:rsid w:val="001316D7"/>
    <w:rsid w:val="001316F6"/>
    <w:rsid w:val="0013271C"/>
    <w:rsid w:val="001329DD"/>
    <w:rsid w:val="00132F20"/>
    <w:rsid w:val="00133570"/>
    <w:rsid w:val="00134A4E"/>
    <w:rsid w:val="00134A97"/>
    <w:rsid w:val="00135E33"/>
    <w:rsid w:val="00135F63"/>
    <w:rsid w:val="001365B3"/>
    <w:rsid w:val="00136DAC"/>
    <w:rsid w:val="00137360"/>
    <w:rsid w:val="001407BA"/>
    <w:rsid w:val="00140CA2"/>
    <w:rsid w:val="00141178"/>
    <w:rsid w:val="001414CB"/>
    <w:rsid w:val="001417EA"/>
    <w:rsid w:val="00141C52"/>
    <w:rsid w:val="001430A8"/>
    <w:rsid w:val="00143200"/>
    <w:rsid w:val="001436D8"/>
    <w:rsid w:val="00143870"/>
    <w:rsid w:val="00143B16"/>
    <w:rsid w:val="00144B03"/>
    <w:rsid w:val="00144B28"/>
    <w:rsid w:val="00144B9D"/>
    <w:rsid w:val="001459B6"/>
    <w:rsid w:val="00145C28"/>
    <w:rsid w:val="00146029"/>
    <w:rsid w:val="00146588"/>
    <w:rsid w:val="00146EEF"/>
    <w:rsid w:val="0014719B"/>
    <w:rsid w:val="00147DFB"/>
    <w:rsid w:val="00151072"/>
    <w:rsid w:val="00151C0B"/>
    <w:rsid w:val="00151D25"/>
    <w:rsid w:val="00152623"/>
    <w:rsid w:val="00153698"/>
    <w:rsid w:val="00154A1D"/>
    <w:rsid w:val="00154B70"/>
    <w:rsid w:val="00154B82"/>
    <w:rsid w:val="00155200"/>
    <w:rsid w:val="00155B60"/>
    <w:rsid w:val="00155D60"/>
    <w:rsid w:val="00156066"/>
    <w:rsid w:val="00156DE0"/>
    <w:rsid w:val="00157CE6"/>
    <w:rsid w:val="00157F9D"/>
    <w:rsid w:val="00160415"/>
    <w:rsid w:val="001615A4"/>
    <w:rsid w:val="0016164D"/>
    <w:rsid w:val="00161882"/>
    <w:rsid w:val="0016234D"/>
    <w:rsid w:val="00162C24"/>
    <w:rsid w:val="00164099"/>
    <w:rsid w:val="00164D19"/>
    <w:rsid w:val="001666B3"/>
    <w:rsid w:val="00170214"/>
    <w:rsid w:val="001703C2"/>
    <w:rsid w:val="0017080E"/>
    <w:rsid w:val="001708E7"/>
    <w:rsid w:val="00171343"/>
    <w:rsid w:val="001715AE"/>
    <w:rsid w:val="00171A0B"/>
    <w:rsid w:val="00171C4F"/>
    <w:rsid w:val="00172373"/>
    <w:rsid w:val="0017273B"/>
    <w:rsid w:val="001738B3"/>
    <w:rsid w:val="001746AF"/>
    <w:rsid w:val="001747A9"/>
    <w:rsid w:val="00175259"/>
    <w:rsid w:val="0017543C"/>
    <w:rsid w:val="0017553B"/>
    <w:rsid w:val="0017636C"/>
    <w:rsid w:val="00176ED8"/>
    <w:rsid w:val="00176F9A"/>
    <w:rsid w:val="00177718"/>
    <w:rsid w:val="0017773A"/>
    <w:rsid w:val="0018045B"/>
    <w:rsid w:val="00181228"/>
    <w:rsid w:val="001821C3"/>
    <w:rsid w:val="0018246B"/>
    <w:rsid w:val="00183900"/>
    <w:rsid w:val="0018520D"/>
    <w:rsid w:val="00185A10"/>
    <w:rsid w:val="00185EC4"/>
    <w:rsid w:val="0018636B"/>
    <w:rsid w:val="001906A8"/>
    <w:rsid w:val="001909A7"/>
    <w:rsid w:val="00191141"/>
    <w:rsid w:val="0019149C"/>
    <w:rsid w:val="001914BE"/>
    <w:rsid w:val="00191FE7"/>
    <w:rsid w:val="001930E1"/>
    <w:rsid w:val="001932B8"/>
    <w:rsid w:val="00193442"/>
    <w:rsid w:val="00193900"/>
    <w:rsid w:val="001941AC"/>
    <w:rsid w:val="00194851"/>
    <w:rsid w:val="00195F1F"/>
    <w:rsid w:val="001964B3"/>
    <w:rsid w:val="001965E6"/>
    <w:rsid w:val="00197219"/>
    <w:rsid w:val="00197C10"/>
    <w:rsid w:val="00197E58"/>
    <w:rsid w:val="001A016D"/>
    <w:rsid w:val="001A0F60"/>
    <w:rsid w:val="001A1808"/>
    <w:rsid w:val="001A35BB"/>
    <w:rsid w:val="001A39A9"/>
    <w:rsid w:val="001A459A"/>
    <w:rsid w:val="001A531F"/>
    <w:rsid w:val="001A5ED5"/>
    <w:rsid w:val="001A6FFD"/>
    <w:rsid w:val="001A7A43"/>
    <w:rsid w:val="001A7ADF"/>
    <w:rsid w:val="001B06C6"/>
    <w:rsid w:val="001B0C1B"/>
    <w:rsid w:val="001B1063"/>
    <w:rsid w:val="001B1274"/>
    <w:rsid w:val="001B2444"/>
    <w:rsid w:val="001B29C8"/>
    <w:rsid w:val="001B2BBD"/>
    <w:rsid w:val="001B2BF1"/>
    <w:rsid w:val="001B31CA"/>
    <w:rsid w:val="001B36C6"/>
    <w:rsid w:val="001B3C4A"/>
    <w:rsid w:val="001B448B"/>
    <w:rsid w:val="001B4DA7"/>
    <w:rsid w:val="001B6499"/>
    <w:rsid w:val="001B7054"/>
    <w:rsid w:val="001B7782"/>
    <w:rsid w:val="001B7C7E"/>
    <w:rsid w:val="001C061E"/>
    <w:rsid w:val="001C0795"/>
    <w:rsid w:val="001C0B5C"/>
    <w:rsid w:val="001C147C"/>
    <w:rsid w:val="001C2013"/>
    <w:rsid w:val="001C224D"/>
    <w:rsid w:val="001C24CD"/>
    <w:rsid w:val="001C28A8"/>
    <w:rsid w:val="001C2C6D"/>
    <w:rsid w:val="001C2F3D"/>
    <w:rsid w:val="001C3ED6"/>
    <w:rsid w:val="001C3F10"/>
    <w:rsid w:val="001C469A"/>
    <w:rsid w:val="001C612F"/>
    <w:rsid w:val="001C6F20"/>
    <w:rsid w:val="001C760A"/>
    <w:rsid w:val="001C7FC6"/>
    <w:rsid w:val="001D1AF2"/>
    <w:rsid w:val="001D2B7F"/>
    <w:rsid w:val="001D2C9C"/>
    <w:rsid w:val="001D2FBB"/>
    <w:rsid w:val="001D34AE"/>
    <w:rsid w:val="001D4266"/>
    <w:rsid w:val="001D46E2"/>
    <w:rsid w:val="001D51CB"/>
    <w:rsid w:val="001D60FD"/>
    <w:rsid w:val="001D7989"/>
    <w:rsid w:val="001D7C41"/>
    <w:rsid w:val="001E02C6"/>
    <w:rsid w:val="001E13C5"/>
    <w:rsid w:val="001E1514"/>
    <w:rsid w:val="001E2B99"/>
    <w:rsid w:val="001E2CE9"/>
    <w:rsid w:val="001E2D14"/>
    <w:rsid w:val="001E3B52"/>
    <w:rsid w:val="001E3FB5"/>
    <w:rsid w:val="001E43A9"/>
    <w:rsid w:val="001E44B9"/>
    <w:rsid w:val="001E4F7C"/>
    <w:rsid w:val="001E4FCF"/>
    <w:rsid w:val="001E58E3"/>
    <w:rsid w:val="001E6F81"/>
    <w:rsid w:val="001E7B9E"/>
    <w:rsid w:val="001F0ADF"/>
    <w:rsid w:val="001F19EB"/>
    <w:rsid w:val="001F201E"/>
    <w:rsid w:val="001F3351"/>
    <w:rsid w:val="001F3A40"/>
    <w:rsid w:val="001F47C8"/>
    <w:rsid w:val="001F48A8"/>
    <w:rsid w:val="001F50E0"/>
    <w:rsid w:val="001F588F"/>
    <w:rsid w:val="001F5D08"/>
    <w:rsid w:val="001F6B11"/>
    <w:rsid w:val="001F753A"/>
    <w:rsid w:val="00200135"/>
    <w:rsid w:val="00200FA2"/>
    <w:rsid w:val="00202BBF"/>
    <w:rsid w:val="00202DC8"/>
    <w:rsid w:val="00202E80"/>
    <w:rsid w:val="002034E5"/>
    <w:rsid w:val="00203A74"/>
    <w:rsid w:val="002043E4"/>
    <w:rsid w:val="00204E69"/>
    <w:rsid w:val="002054F9"/>
    <w:rsid w:val="00205C76"/>
    <w:rsid w:val="00205CA0"/>
    <w:rsid w:val="00205E93"/>
    <w:rsid w:val="002060BF"/>
    <w:rsid w:val="002061DB"/>
    <w:rsid w:val="00206AAE"/>
    <w:rsid w:val="00206EC0"/>
    <w:rsid w:val="0020740C"/>
    <w:rsid w:val="00207A34"/>
    <w:rsid w:val="00210BB8"/>
    <w:rsid w:val="00211265"/>
    <w:rsid w:val="002119BF"/>
    <w:rsid w:val="002123DB"/>
    <w:rsid w:val="00212B1B"/>
    <w:rsid w:val="00214740"/>
    <w:rsid w:val="0021478A"/>
    <w:rsid w:val="00214A1E"/>
    <w:rsid w:val="00214DD5"/>
    <w:rsid w:val="00216951"/>
    <w:rsid w:val="00217C1F"/>
    <w:rsid w:val="00217F1C"/>
    <w:rsid w:val="002202BB"/>
    <w:rsid w:val="0022085F"/>
    <w:rsid w:val="00220FEB"/>
    <w:rsid w:val="00221988"/>
    <w:rsid w:val="00222784"/>
    <w:rsid w:val="00222F76"/>
    <w:rsid w:val="002241BD"/>
    <w:rsid w:val="0022495E"/>
    <w:rsid w:val="00224A46"/>
    <w:rsid w:val="00224D21"/>
    <w:rsid w:val="00231F92"/>
    <w:rsid w:val="002325AC"/>
    <w:rsid w:val="00232C2C"/>
    <w:rsid w:val="002334E6"/>
    <w:rsid w:val="00233775"/>
    <w:rsid w:val="002347B3"/>
    <w:rsid w:val="00234DE6"/>
    <w:rsid w:val="0023524D"/>
    <w:rsid w:val="0023557C"/>
    <w:rsid w:val="00235F92"/>
    <w:rsid w:val="00236340"/>
    <w:rsid w:val="00236E90"/>
    <w:rsid w:val="0023739B"/>
    <w:rsid w:val="0024105D"/>
    <w:rsid w:val="002411EE"/>
    <w:rsid w:val="00241290"/>
    <w:rsid w:val="00241C6D"/>
    <w:rsid w:val="00241DF7"/>
    <w:rsid w:val="00241F1F"/>
    <w:rsid w:val="0024346C"/>
    <w:rsid w:val="00243549"/>
    <w:rsid w:val="002448AB"/>
    <w:rsid w:val="002455A4"/>
    <w:rsid w:val="002465D1"/>
    <w:rsid w:val="002467A7"/>
    <w:rsid w:val="0024692D"/>
    <w:rsid w:val="00247202"/>
    <w:rsid w:val="002474B9"/>
    <w:rsid w:val="002505FB"/>
    <w:rsid w:val="0025064E"/>
    <w:rsid w:val="0025370E"/>
    <w:rsid w:val="00254235"/>
    <w:rsid w:val="00254CD8"/>
    <w:rsid w:val="00254CF1"/>
    <w:rsid w:val="002553D3"/>
    <w:rsid w:val="00255EC9"/>
    <w:rsid w:val="00256C63"/>
    <w:rsid w:val="00256F73"/>
    <w:rsid w:val="002574A6"/>
    <w:rsid w:val="00257BBD"/>
    <w:rsid w:val="00260438"/>
    <w:rsid w:val="00260FCD"/>
    <w:rsid w:val="00261226"/>
    <w:rsid w:val="00262C4D"/>
    <w:rsid w:val="00263270"/>
    <w:rsid w:val="00263915"/>
    <w:rsid w:val="00264916"/>
    <w:rsid w:val="00264E74"/>
    <w:rsid w:val="00265082"/>
    <w:rsid w:val="00265A72"/>
    <w:rsid w:val="002663EA"/>
    <w:rsid w:val="0026756C"/>
    <w:rsid w:val="002676E2"/>
    <w:rsid w:val="00267FA7"/>
    <w:rsid w:val="00270162"/>
    <w:rsid w:val="00270AFD"/>
    <w:rsid w:val="00270CB7"/>
    <w:rsid w:val="00271C01"/>
    <w:rsid w:val="00271D70"/>
    <w:rsid w:val="00273844"/>
    <w:rsid w:val="00273F63"/>
    <w:rsid w:val="00274854"/>
    <w:rsid w:val="002749F7"/>
    <w:rsid w:val="00275121"/>
    <w:rsid w:val="002751DE"/>
    <w:rsid w:val="002753B5"/>
    <w:rsid w:val="0027717C"/>
    <w:rsid w:val="0027751C"/>
    <w:rsid w:val="0028065C"/>
    <w:rsid w:val="002806D6"/>
    <w:rsid w:val="00280C0A"/>
    <w:rsid w:val="00281F74"/>
    <w:rsid w:val="00282778"/>
    <w:rsid w:val="0028289B"/>
    <w:rsid w:val="00282B35"/>
    <w:rsid w:val="002836AC"/>
    <w:rsid w:val="00285937"/>
    <w:rsid w:val="002867AA"/>
    <w:rsid w:val="002868D5"/>
    <w:rsid w:val="00286AEF"/>
    <w:rsid w:val="00286C20"/>
    <w:rsid w:val="0028775D"/>
    <w:rsid w:val="00290A0F"/>
    <w:rsid w:val="00291B19"/>
    <w:rsid w:val="00292341"/>
    <w:rsid w:val="00292759"/>
    <w:rsid w:val="00292B58"/>
    <w:rsid w:val="00292C4B"/>
    <w:rsid w:val="002944F6"/>
    <w:rsid w:val="00294DE6"/>
    <w:rsid w:val="00295348"/>
    <w:rsid w:val="00297330"/>
    <w:rsid w:val="002978C0"/>
    <w:rsid w:val="002A00D8"/>
    <w:rsid w:val="002A0BCE"/>
    <w:rsid w:val="002A17EB"/>
    <w:rsid w:val="002A1944"/>
    <w:rsid w:val="002A1BF6"/>
    <w:rsid w:val="002A2925"/>
    <w:rsid w:val="002A3613"/>
    <w:rsid w:val="002A372B"/>
    <w:rsid w:val="002A400A"/>
    <w:rsid w:val="002A5A04"/>
    <w:rsid w:val="002A5DEB"/>
    <w:rsid w:val="002A5F4C"/>
    <w:rsid w:val="002A6044"/>
    <w:rsid w:val="002A6E25"/>
    <w:rsid w:val="002A6E97"/>
    <w:rsid w:val="002A73B2"/>
    <w:rsid w:val="002A762A"/>
    <w:rsid w:val="002B07A1"/>
    <w:rsid w:val="002B0C0F"/>
    <w:rsid w:val="002B0F26"/>
    <w:rsid w:val="002B10A2"/>
    <w:rsid w:val="002B3004"/>
    <w:rsid w:val="002B3AB8"/>
    <w:rsid w:val="002B66F9"/>
    <w:rsid w:val="002C046D"/>
    <w:rsid w:val="002C0CC2"/>
    <w:rsid w:val="002C106C"/>
    <w:rsid w:val="002C1BB3"/>
    <w:rsid w:val="002C1F66"/>
    <w:rsid w:val="002C22EC"/>
    <w:rsid w:val="002C5ABE"/>
    <w:rsid w:val="002C7367"/>
    <w:rsid w:val="002C798C"/>
    <w:rsid w:val="002C7D69"/>
    <w:rsid w:val="002D0E08"/>
    <w:rsid w:val="002D16FA"/>
    <w:rsid w:val="002D337A"/>
    <w:rsid w:val="002D34CE"/>
    <w:rsid w:val="002D376D"/>
    <w:rsid w:val="002D564B"/>
    <w:rsid w:val="002D58E1"/>
    <w:rsid w:val="002D6B9F"/>
    <w:rsid w:val="002D6C88"/>
    <w:rsid w:val="002D7097"/>
    <w:rsid w:val="002D7925"/>
    <w:rsid w:val="002D7E9F"/>
    <w:rsid w:val="002E161D"/>
    <w:rsid w:val="002E1BA3"/>
    <w:rsid w:val="002E27C6"/>
    <w:rsid w:val="002E554F"/>
    <w:rsid w:val="002E6353"/>
    <w:rsid w:val="002F01D5"/>
    <w:rsid w:val="002F02D3"/>
    <w:rsid w:val="002F0403"/>
    <w:rsid w:val="002F0686"/>
    <w:rsid w:val="002F0E46"/>
    <w:rsid w:val="002F1241"/>
    <w:rsid w:val="002F14CD"/>
    <w:rsid w:val="002F203C"/>
    <w:rsid w:val="002F28B4"/>
    <w:rsid w:val="002F38AF"/>
    <w:rsid w:val="002F4E9C"/>
    <w:rsid w:val="002F5AB6"/>
    <w:rsid w:val="002F5AD6"/>
    <w:rsid w:val="002F5BDE"/>
    <w:rsid w:val="002F6019"/>
    <w:rsid w:val="002F6EB6"/>
    <w:rsid w:val="002F7FE5"/>
    <w:rsid w:val="00301409"/>
    <w:rsid w:val="003014F5"/>
    <w:rsid w:val="00302194"/>
    <w:rsid w:val="00302CA1"/>
    <w:rsid w:val="00302E15"/>
    <w:rsid w:val="00303430"/>
    <w:rsid w:val="00303F87"/>
    <w:rsid w:val="0030540B"/>
    <w:rsid w:val="0030702B"/>
    <w:rsid w:val="00307945"/>
    <w:rsid w:val="00307DE8"/>
    <w:rsid w:val="003109A0"/>
    <w:rsid w:val="00312E28"/>
    <w:rsid w:val="00312FDC"/>
    <w:rsid w:val="00313499"/>
    <w:rsid w:val="003141B8"/>
    <w:rsid w:val="003143CE"/>
    <w:rsid w:val="00314BDE"/>
    <w:rsid w:val="0031586F"/>
    <w:rsid w:val="00316364"/>
    <w:rsid w:val="003167B4"/>
    <w:rsid w:val="00316D63"/>
    <w:rsid w:val="0031747A"/>
    <w:rsid w:val="00317751"/>
    <w:rsid w:val="0032138F"/>
    <w:rsid w:val="003216FE"/>
    <w:rsid w:val="00322AB5"/>
    <w:rsid w:val="00322B42"/>
    <w:rsid w:val="00325A9C"/>
    <w:rsid w:val="00325E7E"/>
    <w:rsid w:val="003269F0"/>
    <w:rsid w:val="003271B4"/>
    <w:rsid w:val="0032794A"/>
    <w:rsid w:val="00330937"/>
    <w:rsid w:val="00331B2C"/>
    <w:rsid w:val="00331B97"/>
    <w:rsid w:val="00331C1C"/>
    <w:rsid w:val="00331E2B"/>
    <w:rsid w:val="003327A0"/>
    <w:rsid w:val="00332814"/>
    <w:rsid w:val="0033288B"/>
    <w:rsid w:val="00332986"/>
    <w:rsid w:val="0033333C"/>
    <w:rsid w:val="00334900"/>
    <w:rsid w:val="0033497B"/>
    <w:rsid w:val="0033517E"/>
    <w:rsid w:val="0033677C"/>
    <w:rsid w:val="00336810"/>
    <w:rsid w:val="00337E3C"/>
    <w:rsid w:val="00341B08"/>
    <w:rsid w:val="00341B6C"/>
    <w:rsid w:val="0034474F"/>
    <w:rsid w:val="00344E75"/>
    <w:rsid w:val="00345C07"/>
    <w:rsid w:val="00345C30"/>
    <w:rsid w:val="00345F80"/>
    <w:rsid w:val="00345FFE"/>
    <w:rsid w:val="00346B2B"/>
    <w:rsid w:val="00346F20"/>
    <w:rsid w:val="00347655"/>
    <w:rsid w:val="00350AA8"/>
    <w:rsid w:val="00350C0F"/>
    <w:rsid w:val="0035110C"/>
    <w:rsid w:val="003513D1"/>
    <w:rsid w:val="003513EC"/>
    <w:rsid w:val="00352243"/>
    <w:rsid w:val="00352426"/>
    <w:rsid w:val="00352B48"/>
    <w:rsid w:val="00352CFC"/>
    <w:rsid w:val="00353041"/>
    <w:rsid w:val="00355320"/>
    <w:rsid w:val="00356211"/>
    <w:rsid w:val="003565B2"/>
    <w:rsid w:val="00356E05"/>
    <w:rsid w:val="003573AD"/>
    <w:rsid w:val="003606C4"/>
    <w:rsid w:val="00361FAC"/>
    <w:rsid w:val="003622FB"/>
    <w:rsid w:val="00362A1B"/>
    <w:rsid w:val="00363247"/>
    <w:rsid w:val="00364C92"/>
    <w:rsid w:val="003651FA"/>
    <w:rsid w:val="003654F4"/>
    <w:rsid w:val="00366027"/>
    <w:rsid w:val="00367579"/>
    <w:rsid w:val="0037014B"/>
    <w:rsid w:val="00370889"/>
    <w:rsid w:val="00370E81"/>
    <w:rsid w:val="003714C6"/>
    <w:rsid w:val="00371987"/>
    <w:rsid w:val="00373108"/>
    <w:rsid w:val="003744D3"/>
    <w:rsid w:val="003746A0"/>
    <w:rsid w:val="00374EF7"/>
    <w:rsid w:val="00375A2A"/>
    <w:rsid w:val="00375D93"/>
    <w:rsid w:val="0037683F"/>
    <w:rsid w:val="0037720F"/>
    <w:rsid w:val="00377D61"/>
    <w:rsid w:val="00383B2B"/>
    <w:rsid w:val="00384A06"/>
    <w:rsid w:val="0038537E"/>
    <w:rsid w:val="00385AC0"/>
    <w:rsid w:val="003861EE"/>
    <w:rsid w:val="0038629A"/>
    <w:rsid w:val="003866C5"/>
    <w:rsid w:val="003872F7"/>
    <w:rsid w:val="0038731D"/>
    <w:rsid w:val="003878AA"/>
    <w:rsid w:val="00392033"/>
    <w:rsid w:val="0039288C"/>
    <w:rsid w:val="00392B27"/>
    <w:rsid w:val="00392CB8"/>
    <w:rsid w:val="003938CE"/>
    <w:rsid w:val="0039420E"/>
    <w:rsid w:val="00394563"/>
    <w:rsid w:val="00394899"/>
    <w:rsid w:val="00394A98"/>
    <w:rsid w:val="00394D75"/>
    <w:rsid w:val="00395169"/>
    <w:rsid w:val="003957E9"/>
    <w:rsid w:val="003A0202"/>
    <w:rsid w:val="003A028A"/>
    <w:rsid w:val="003A03A9"/>
    <w:rsid w:val="003A0BC3"/>
    <w:rsid w:val="003A0EF2"/>
    <w:rsid w:val="003A2393"/>
    <w:rsid w:val="003A2F26"/>
    <w:rsid w:val="003A378F"/>
    <w:rsid w:val="003A46B9"/>
    <w:rsid w:val="003A4FFC"/>
    <w:rsid w:val="003A500C"/>
    <w:rsid w:val="003B0BA7"/>
    <w:rsid w:val="003B12D1"/>
    <w:rsid w:val="003B15EA"/>
    <w:rsid w:val="003B2326"/>
    <w:rsid w:val="003B23EC"/>
    <w:rsid w:val="003B2AE7"/>
    <w:rsid w:val="003B35B7"/>
    <w:rsid w:val="003B4257"/>
    <w:rsid w:val="003B4BC7"/>
    <w:rsid w:val="003B6035"/>
    <w:rsid w:val="003B62DB"/>
    <w:rsid w:val="003B75F1"/>
    <w:rsid w:val="003B7FDA"/>
    <w:rsid w:val="003C0276"/>
    <w:rsid w:val="003C0482"/>
    <w:rsid w:val="003C0B76"/>
    <w:rsid w:val="003C100F"/>
    <w:rsid w:val="003C1B80"/>
    <w:rsid w:val="003C1C2A"/>
    <w:rsid w:val="003C203B"/>
    <w:rsid w:val="003C2560"/>
    <w:rsid w:val="003C3F4C"/>
    <w:rsid w:val="003C427A"/>
    <w:rsid w:val="003C42D6"/>
    <w:rsid w:val="003C48CC"/>
    <w:rsid w:val="003C4FF2"/>
    <w:rsid w:val="003C51B1"/>
    <w:rsid w:val="003C704D"/>
    <w:rsid w:val="003C725C"/>
    <w:rsid w:val="003D06B4"/>
    <w:rsid w:val="003D07F2"/>
    <w:rsid w:val="003D118B"/>
    <w:rsid w:val="003D2709"/>
    <w:rsid w:val="003D3074"/>
    <w:rsid w:val="003D45D2"/>
    <w:rsid w:val="003D489E"/>
    <w:rsid w:val="003D501E"/>
    <w:rsid w:val="003D58A2"/>
    <w:rsid w:val="003D6B9D"/>
    <w:rsid w:val="003D794D"/>
    <w:rsid w:val="003D7E5C"/>
    <w:rsid w:val="003E111F"/>
    <w:rsid w:val="003E1A6F"/>
    <w:rsid w:val="003E2C4C"/>
    <w:rsid w:val="003E400F"/>
    <w:rsid w:val="003E47AC"/>
    <w:rsid w:val="003E4DD6"/>
    <w:rsid w:val="003E58A0"/>
    <w:rsid w:val="003E647F"/>
    <w:rsid w:val="003E6496"/>
    <w:rsid w:val="003E7459"/>
    <w:rsid w:val="003F0079"/>
    <w:rsid w:val="003F05C6"/>
    <w:rsid w:val="003F08C1"/>
    <w:rsid w:val="003F1766"/>
    <w:rsid w:val="003F17A2"/>
    <w:rsid w:val="003F266A"/>
    <w:rsid w:val="003F3857"/>
    <w:rsid w:val="003F4621"/>
    <w:rsid w:val="003F48B1"/>
    <w:rsid w:val="003F6C3F"/>
    <w:rsid w:val="003F6E6F"/>
    <w:rsid w:val="00400401"/>
    <w:rsid w:val="00400DC8"/>
    <w:rsid w:val="00401948"/>
    <w:rsid w:val="00401D08"/>
    <w:rsid w:val="00401DAB"/>
    <w:rsid w:val="00401F23"/>
    <w:rsid w:val="00401F69"/>
    <w:rsid w:val="0040245A"/>
    <w:rsid w:val="00402500"/>
    <w:rsid w:val="00402545"/>
    <w:rsid w:val="00402728"/>
    <w:rsid w:val="00403479"/>
    <w:rsid w:val="00406215"/>
    <w:rsid w:val="00410BEB"/>
    <w:rsid w:val="00410D48"/>
    <w:rsid w:val="004112FF"/>
    <w:rsid w:val="004118F3"/>
    <w:rsid w:val="004119EE"/>
    <w:rsid w:val="00411CB3"/>
    <w:rsid w:val="00412AA3"/>
    <w:rsid w:val="00412D07"/>
    <w:rsid w:val="004137DF"/>
    <w:rsid w:val="0041405D"/>
    <w:rsid w:val="0041510B"/>
    <w:rsid w:val="004201C3"/>
    <w:rsid w:val="00420EDB"/>
    <w:rsid w:val="00421041"/>
    <w:rsid w:val="00422ADC"/>
    <w:rsid w:val="00422F77"/>
    <w:rsid w:val="00423075"/>
    <w:rsid w:val="00423E3D"/>
    <w:rsid w:val="00423F40"/>
    <w:rsid w:val="004252F0"/>
    <w:rsid w:val="004254ED"/>
    <w:rsid w:val="00425550"/>
    <w:rsid w:val="0042645F"/>
    <w:rsid w:val="004264FD"/>
    <w:rsid w:val="004272DE"/>
    <w:rsid w:val="004274CC"/>
    <w:rsid w:val="00430167"/>
    <w:rsid w:val="00430FB7"/>
    <w:rsid w:val="00431C1E"/>
    <w:rsid w:val="004327E5"/>
    <w:rsid w:val="004332FB"/>
    <w:rsid w:val="00435214"/>
    <w:rsid w:val="0043599C"/>
    <w:rsid w:val="00435C00"/>
    <w:rsid w:val="0043659A"/>
    <w:rsid w:val="00436D85"/>
    <w:rsid w:val="00437B7A"/>
    <w:rsid w:val="00437DAE"/>
    <w:rsid w:val="0044016E"/>
    <w:rsid w:val="00440754"/>
    <w:rsid w:val="00440A19"/>
    <w:rsid w:val="00440C4B"/>
    <w:rsid w:val="004411FE"/>
    <w:rsid w:val="004441B0"/>
    <w:rsid w:val="00444205"/>
    <w:rsid w:val="00444C56"/>
    <w:rsid w:val="00444FA9"/>
    <w:rsid w:val="00445554"/>
    <w:rsid w:val="0044568D"/>
    <w:rsid w:val="00445E4E"/>
    <w:rsid w:val="00446308"/>
    <w:rsid w:val="00446A98"/>
    <w:rsid w:val="00447186"/>
    <w:rsid w:val="00447B2C"/>
    <w:rsid w:val="004521C5"/>
    <w:rsid w:val="004528C2"/>
    <w:rsid w:val="004531FB"/>
    <w:rsid w:val="004539A3"/>
    <w:rsid w:val="00453CFD"/>
    <w:rsid w:val="00453E03"/>
    <w:rsid w:val="004548AB"/>
    <w:rsid w:val="00454EF0"/>
    <w:rsid w:val="00455952"/>
    <w:rsid w:val="004566D7"/>
    <w:rsid w:val="00457BB0"/>
    <w:rsid w:val="00457BEC"/>
    <w:rsid w:val="00460988"/>
    <w:rsid w:val="00460E2E"/>
    <w:rsid w:val="00461CEA"/>
    <w:rsid w:val="00462A9A"/>
    <w:rsid w:val="00463B3E"/>
    <w:rsid w:val="00463BF8"/>
    <w:rsid w:val="00464200"/>
    <w:rsid w:val="00464573"/>
    <w:rsid w:val="004647C0"/>
    <w:rsid w:val="004648FE"/>
    <w:rsid w:val="00464D73"/>
    <w:rsid w:val="00464F86"/>
    <w:rsid w:val="00465178"/>
    <w:rsid w:val="00465589"/>
    <w:rsid w:val="0046610D"/>
    <w:rsid w:val="0046639F"/>
    <w:rsid w:val="00466D17"/>
    <w:rsid w:val="00466EB1"/>
    <w:rsid w:val="00467550"/>
    <w:rsid w:val="00467B1A"/>
    <w:rsid w:val="00470443"/>
    <w:rsid w:val="004723A4"/>
    <w:rsid w:val="00474106"/>
    <w:rsid w:val="00474C96"/>
    <w:rsid w:val="00475167"/>
    <w:rsid w:val="004773CE"/>
    <w:rsid w:val="00480005"/>
    <w:rsid w:val="004801C8"/>
    <w:rsid w:val="004808FB"/>
    <w:rsid w:val="00482AEB"/>
    <w:rsid w:val="004841E1"/>
    <w:rsid w:val="00484654"/>
    <w:rsid w:val="00484F1C"/>
    <w:rsid w:val="00485E6F"/>
    <w:rsid w:val="004878B8"/>
    <w:rsid w:val="0049029B"/>
    <w:rsid w:val="004938DD"/>
    <w:rsid w:val="00493ABD"/>
    <w:rsid w:val="0049464C"/>
    <w:rsid w:val="0049553F"/>
    <w:rsid w:val="00495E95"/>
    <w:rsid w:val="00495FCE"/>
    <w:rsid w:val="0049658D"/>
    <w:rsid w:val="00497A37"/>
    <w:rsid w:val="004A04AC"/>
    <w:rsid w:val="004A095A"/>
    <w:rsid w:val="004A12A8"/>
    <w:rsid w:val="004A186F"/>
    <w:rsid w:val="004A1B9A"/>
    <w:rsid w:val="004A1DDF"/>
    <w:rsid w:val="004A1FDA"/>
    <w:rsid w:val="004A23CB"/>
    <w:rsid w:val="004A2740"/>
    <w:rsid w:val="004A2C60"/>
    <w:rsid w:val="004A2EEA"/>
    <w:rsid w:val="004A47E2"/>
    <w:rsid w:val="004A5675"/>
    <w:rsid w:val="004A57CE"/>
    <w:rsid w:val="004A5BF0"/>
    <w:rsid w:val="004A634E"/>
    <w:rsid w:val="004A7C9D"/>
    <w:rsid w:val="004B0218"/>
    <w:rsid w:val="004B0A06"/>
    <w:rsid w:val="004B1569"/>
    <w:rsid w:val="004B1687"/>
    <w:rsid w:val="004B2D87"/>
    <w:rsid w:val="004B35C7"/>
    <w:rsid w:val="004B3929"/>
    <w:rsid w:val="004B49D3"/>
    <w:rsid w:val="004B4BDB"/>
    <w:rsid w:val="004B66EF"/>
    <w:rsid w:val="004B6EC1"/>
    <w:rsid w:val="004C0D35"/>
    <w:rsid w:val="004C0DB0"/>
    <w:rsid w:val="004C1094"/>
    <w:rsid w:val="004C1825"/>
    <w:rsid w:val="004C288F"/>
    <w:rsid w:val="004C29EE"/>
    <w:rsid w:val="004C3DB1"/>
    <w:rsid w:val="004C453E"/>
    <w:rsid w:val="004C517B"/>
    <w:rsid w:val="004C60A2"/>
    <w:rsid w:val="004C6627"/>
    <w:rsid w:val="004C678A"/>
    <w:rsid w:val="004D029D"/>
    <w:rsid w:val="004D1516"/>
    <w:rsid w:val="004D23FB"/>
    <w:rsid w:val="004D2579"/>
    <w:rsid w:val="004D283A"/>
    <w:rsid w:val="004D2A49"/>
    <w:rsid w:val="004D3951"/>
    <w:rsid w:val="004D397F"/>
    <w:rsid w:val="004D3A81"/>
    <w:rsid w:val="004D403C"/>
    <w:rsid w:val="004D47F7"/>
    <w:rsid w:val="004D587E"/>
    <w:rsid w:val="004D5F89"/>
    <w:rsid w:val="004D7943"/>
    <w:rsid w:val="004E1F15"/>
    <w:rsid w:val="004E2FFA"/>
    <w:rsid w:val="004E3270"/>
    <w:rsid w:val="004E3A3F"/>
    <w:rsid w:val="004E3A52"/>
    <w:rsid w:val="004E3BC4"/>
    <w:rsid w:val="004E51BD"/>
    <w:rsid w:val="004E62DA"/>
    <w:rsid w:val="004E6E1E"/>
    <w:rsid w:val="004E6F1D"/>
    <w:rsid w:val="004E6FB3"/>
    <w:rsid w:val="004E7646"/>
    <w:rsid w:val="004E7F60"/>
    <w:rsid w:val="004F0323"/>
    <w:rsid w:val="004F0559"/>
    <w:rsid w:val="004F1DDE"/>
    <w:rsid w:val="004F2C97"/>
    <w:rsid w:val="004F310E"/>
    <w:rsid w:val="004F39C7"/>
    <w:rsid w:val="004F3B1D"/>
    <w:rsid w:val="004F4964"/>
    <w:rsid w:val="004F4C19"/>
    <w:rsid w:val="004F6111"/>
    <w:rsid w:val="004F6B74"/>
    <w:rsid w:val="004F756D"/>
    <w:rsid w:val="005011AC"/>
    <w:rsid w:val="00503E28"/>
    <w:rsid w:val="005043A4"/>
    <w:rsid w:val="00505F78"/>
    <w:rsid w:val="00506208"/>
    <w:rsid w:val="0050679A"/>
    <w:rsid w:val="005079B0"/>
    <w:rsid w:val="0051039B"/>
    <w:rsid w:val="00510432"/>
    <w:rsid w:val="00510490"/>
    <w:rsid w:val="00510494"/>
    <w:rsid w:val="00510D42"/>
    <w:rsid w:val="00510F22"/>
    <w:rsid w:val="005114CE"/>
    <w:rsid w:val="00511987"/>
    <w:rsid w:val="0051288C"/>
    <w:rsid w:val="00513BA9"/>
    <w:rsid w:val="00513CE4"/>
    <w:rsid w:val="00514118"/>
    <w:rsid w:val="00515162"/>
    <w:rsid w:val="00515301"/>
    <w:rsid w:val="00516A90"/>
    <w:rsid w:val="00516DFF"/>
    <w:rsid w:val="00517517"/>
    <w:rsid w:val="00517522"/>
    <w:rsid w:val="00517D38"/>
    <w:rsid w:val="00520327"/>
    <w:rsid w:val="00521202"/>
    <w:rsid w:val="00521752"/>
    <w:rsid w:val="005240DF"/>
    <w:rsid w:val="0052496A"/>
    <w:rsid w:val="00525D81"/>
    <w:rsid w:val="00526296"/>
    <w:rsid w:val="00526B70"/>
    <w:rsid w:val="005272AE"/>
    <w:rsid w:val="005277CA"/>
    <w:rsid w:val="005307B5"/>
    <w:rsid w:val="00530FF0"/>
    <w:rsid w:val="0053265B"/>
    <w:rsid w:val="00532803"/>
    <w:rsid w:val="00533939"/>
    <w:rsid w:val="00534A78"/>
    <w:rsid w:val="00534FF3"/>
    <w:rsid w:val="00535E1C"/>
    <w:rsid w:val="0053627A"/>
    <w:rsid w:val="005365A7"/>
    <w:rsid w:val="00536ECF"/>
    <w:rsid w:val="005376AE"/>
    <w:rsid w:val="005379AD"/>
    <w:rsid w:val="00537E84"/>
    <w:rsid w:val="005400CC"/>
    <w:rsid w:val="0054017D"/>
    <w:rsid w:val="00540255"/>
    <w:rsid w:val="00540A20"/>
    <w:rsid w:val="00540A5A"/>
    <w:rsid w:val="005425B0"/>
    <w:rsid w:val="00543163"/>
    <w:rsid w:val="00544589"/>
    <w:rsid w:val="00547236"/>
    <w:rsid w:val="0054776F"/>
    <w:rsid w:val="00547B23"/>
    <w:rsid w:val="005505B7"/>
    <w:rsid w:val="00550B91"/>
    <w:rsid w:val="00553024"/>
    <w:rsid w:val="00553F0A"/>
    <w:rsid w:val="00554134"/>
    <w:rsid w:val="00554911"/>
    <w:rsid w:val="00554D53"/>
    <w:rsid w:val="00554F5D"/>
    <w:rsid w:val="005553C5"/>
    <w:rsid w:val="00556B80"/>
    <w:rsid w:val="00556E15"/>
    <w:rsid w:val="00556EEE"/>
    <w:rsid w:val="00556FDE"/>
    <w:rsid w:val="00557295"/>
    <w:rsid w:val="005578EC"/>
    <w:rsid w:val="005621B9"/>
    <w:rsid w:val="00562CE0"/>
    <w:rsid w:val="00562D3C"/>
    <w:rsid w:val="00564163"/>
    <w:rsid w:val="00564B59"/>
    <w:rsid w:val="00565260"/>
    <w:rsid w:val="00565610"/>
    <w:rsid w:val="005658C4"/>
    <w:rsid w:val="00566EFD"/>
    <w:rsid w:val="0056750B"/>
    <w:rsid w:val="0056789B"/>
    <w:rsid w:val="005679FE"/>
    <w:rsid w:val="005708E3"/>
    <w:rsid w:val="005714DE"/>
    <w:rsid w:val="00571D01"/>
    <w:rsid w:val="00572902"/>
    <w:rsid w:val="005734FA"/>
    <w:rsid w:val="005760D4"/>
    <w:rsid w:val="005762BC"/>
    <w:rsid w:val="005773E7"/>
    <w:rsid w:val="00577BE2"/>
    <w:rsid w:val="00580BE7"/>
    <w:rsid w:val="00581A62"/>
    <w:rsid w:val="00582A38"/>
    <w:rsid w:val="00582E42"/>
    <w:rsid w:val="00583B71"/>
    <w:rsid w:val="00583DAC"/>
    <w:rsid w:val="0058574F"/>
    <w:rsid w:val="0058593C"/>
    <w:rsid w:val="00587DC4"/>
    <w:rsid w:val="00590F9A"/>
    <w:rsid w:val="00592211"/>
    <w:rsid w:val="00592872"/>
    <w:rsid w:val="00592B87"/>
    <w:rsid w:val="00592EFA"/>
    <w:rsid w:val="00592FD9"/>
    <w:rsid w:val="005934E1"/>
    <w:rsid w:val="00593804"/>
    <w:rsid w:val="0059498A"/>
    <w:rsid w:val="00594DE3"/>
    <w:rsid w:val="00595C0D"/>
    <w:rsid w:val="00595EBF"/>
    <w:rsid w:val="005960D8"/>
    <w:rsid w:val="0059625A"/>
    <w:rsid w:val="005963D2"/>
    <w:rsid w:val="00596956"/>
    <w:rsid w:val="005A024A"/>
    <w:rsid w:val="005A135D"/>
    <w:rsid w:val="005A1D66"/>
    <w:rsid w:val="005A2477"/>
    <w:rsid w:val="005A26CA"/>
    <w:rsid w:val="005A336F"/>
    <w:rsid w:val="005A4102"/>
    <w:rsid w:val="005A4414"/>
    <w:rsid w:val="005A461F"/>
    <w:rsid w:val="005A496F"/>
    <w:rsid w:val="005A4EA9"/>
    <w:rsid w:val="005A5843"/>
    <w:rsid w:val="005A5A97"/>
    <w:rsid w:val="005A6747"/>
    <w:rsid w:val="005A6E5D"/>
    <w:rsid w:val="005A7293"/>
    <w:rsid w:val="005A7AC1"/>
    <w:rsid w:val="005A7F1E"/>
    <w:rsid w:val="005B0559"/>
    <w:rsid w:val="005B0EB5"/>
    <w:rsid w:val="005B1335"/>
    <w:rsid w:val="005B197C"/>
    <w:rsid w:val="005B219D"/>
    <w:rsid w:val="005B2953"/>
    <w:rsid w:val="005B313D"/>
    <w:rsid w:val="005B31E7"/>
    <w:rsid w:val="005B3FA7"/>
    <w:rsid w:val="005B45AA"/>
    <w:rsid w:val="005B4F6E"/>
    <w:rsid w:val="005B5148"/>
    <w:rsid w:val="005B6093"/>
    <w:rsid w:val="005B6506"/>
    <w:rsid w:val="005B6B28"/>
    <w:rsid w:val="005B6EFF"/>
    <w:rsid w:val="005B759C"/>
    <w:rsid w:val="005B78A9"/>
    <w:rsid w:val="005C0ED0"/>
    <w:rsid w:val="005C14D1"/>
    <w:rsid w:val="005C24E2"/>
    <w:rsid w:val="005C2C69"/>
    <w:rsid w:val="005C2E50"/>
    <w:rsid w:val="005C4505"/>
    <w:rsid w:val="005C4BA9"/>
    <w:rsid w:val="005C503A"/>
    <w:rsid w:val="005C55A4"/>
    <w:rsid w:val="005C6799"/>
    <w:rsid w:val="005C7781"/>
    <w:rsid w:val="005C7DFA"/>
    <w:rsid w:val="005D07FA"/>
    <w:rsid w:val="005D1D63"/>
    <w:rsid w:val="005D355A"/>
    <w:rsid w:val="005D3CCA"/>
    <w:rsid w:val="005D4DF5"/>
    <w:rsid w:val="005D5EB4"/>
    <w:rsid w:val="005D61D6"/>
    <w:rsid w:val="005D6271"/>
    <w:rsid w:val="005D7855"/>
    <w:rsid w:val="005D7D4E"/>
    <w:rsid w:val="005E032A"/>
    <w:rsid w:val="005E0C54"/>
    <w:rsid w:val="005E0FB6"/>
    <w:rsid w:val="005E1094"/>
    <w:rsid w:val="005E1141"/>
    <w:rsid w:val="005E24D9"/>
    <w:rsid w:val="005E284F"/>
    <w:rsid w:val="005E4592"/>
    <w:rsid w:val="005E4E9C"/>
    <w:rsid w:val="005E5026"/>
    <w:rsid w:val="005E514A"/>
    <w:rsid w:val="005F0468"/>
    <w:rsid w:val="005F0884"/>
    <w:rsid w:val="005F1F68"/>
    <w:rsid w:val="005F27BD"/>
    <w:rsid w:val="005F2951"/>
    <w:rsid w:val="005F36DB"/>
    <w:rsid w:val="005F4DD2"/>
    <w:rsid w:val="005F54DC"/>
    <w:rsid w:val="005F556A"/>
    <w:rsid w:val="005F715F"/>
    <w:rsid w:val="005F75A3"/>
    <w:rsid w:val="006000E3"/>
    <w:rsid w:val="006007F7"/>
    <w:rsid w:val="00600958"/>
    <w:rsid w:val="00600C17"/>
    <w:rsid w:val="00601217"/>
    <w:rsid w:val="00601334"/>
    <w:rsid w:val="00601777"/>
    <w:rsid w:val="006019C0"/>
    <w:rsid w:val="00602E97"/>
    <w:rsid w:val="006034FD"/>
    <w:rsid w:val="00604445"/>
    <w:rsid w:val="00604617"/>
    <w:rsid w:val="006060A3"/>
    <w:rsid w:val="006070AE"/>
    <w:rsid w:val="006073BB"/>
    <w:rsid w:val="00607663"/>
    <w:rsid w:val="0061039F"/>
    <w:rsid w:val="006111EC"/>
    <w:rsid w:val="006115DC"/>
    <w:rsid w:val="0061168B"/>
    <w:rsid w:val="00612702"/>
    <w:rsid w:val="006128F7"/>
    <w:rsid w:val="00612927"/>
    <w:rsid w:val="00616789"/>
    <w:rsid w:val="00616ECB"/>
    <w:rsid w:val="00617CA6"/>
    <w:rsid w:val="0062092B"/>
    <w:rsid w:val="00620F29"/>
    <w:rsid w:val="006216FC"/>
    <w:rsid w:val="00621C6F"/>
    <w:rsid w:val="00621E8A"/>
    <w:rsid w:val="006226EA"/>
    <w:rsid w:val="00623A81"/>
    <w:rsid w:val="00623F83"/>
    <w:rsid w:val="00624ACC"/>
    <w:rsid w:val="00624D66"/>
    <w:rsid w:val="00624FCB"/>
    <w:rsid w:val="0062526E"/>
    <w:rsid w:val="0062623C"/>
    <w:rsid w:val="006263A6"/>
    <w:rsid w:val="0062658D"/>
    <w:rsid w:val="006268E3"/>
    <w:rsid w:val="00626F82"/>
    <w:rsid w:val="00630579"/>
    <w:rsid w:val="00632398"/>
    <w:rsid w:val="00632D04"/>
    <w:rsid w:val="006331A0"/>
    <w:rsid w:val="006335FF"/>
    <w:rsid w:val="00634137"/>
    <w:rsid w:val="00634558"/>
    <w:rsid w:val="00634627"/>
    <w:rsid w:val="00634E6C"/>
    <w:rsid w:val="00635CB5"/>
    <w:rsid w:val="00641429"/>
    <w:rsid w:val="00641F0E"/>
    <w:rsid w:val="00641FE3"/>
    <w:rsid w:val="00642622"/>
    <w:rsid w:val="00642968"/>
    <w:rsid w:val="00642B9D"/>
    <w:rsid w:val="006447B8"/>
    <w:rsid w:val="00644EC5"/>
    <w:rsid w:val="006454E1"/>
    <w:rsid w:val="0064579A"/>
    <w:rsid w:val="00650105"/>
    <w:rsid w:val="00652DF2"/>
    <w:rsid w:val="00653334"/>
    <w:rsid w:val="00654017"/>
    <w:rsid w:val="0065559E"/>
    <w:rsid w:val="00660A4E"/>
    <w:rsid w:val="00660BF4"/>
    <w:rsid w:val="00661078"/>
    <w:rsid w:val="00661F1A"/>
    <w:rsid w:val="0066258C"/>
    <w:rsid w:val="00662DE0"/>
    <w:rsid w:val="00662F7F"/>
    <w:rsid w:val="00663435"/>
    <w:rsid w:val="0066355F"/>
    <w:rsid w:val="0066380D"/>
    <w:rsid w:val="00663EB0"/>
    <w:rsid w:val="00663FA4"/>
    <w:rsid w:val="00664952"/>
    <w:rsid w:val="00665995"/>
    <w:rsid w:val="00665B43"/>
    <w:rsid w:val="006666D0"/>
    <w:rsid w:val="00667372"/>
    <w:rsid w:val="00667DAD"/>
    <w:rsid w:val="0067227A"/>
    <w:rsid w:val="00672BC0"/>
    <w:rsid w:val="00672FA4"/>
    <w:rsid w:val="00672FA5"/>
    <w:rsid w:val="0067462E"/>
    <w:rsid w:val="00675EE3"/>
    <w:rsid w:val="0067696A"/>
    <w:rsid w:val="00676C35"/>
    <w:rsid w:val="00676E2C"/>
    <w:rsid w:val="006773F6"/>
    <w:rsid w:val="0067781E"/>
    <w:rsid w:val="00677994"/>
    <w:rsid w:val="00677B64"/>
    <w:rsid w:val="00677BD1"/>
    <w:rsid w:val="006803F3"/>
    <w:rsid w:val="0068041F"/>
    <w:rsid w:val="006812DC"/>
    <w:rsid w:val="00681ECA"/>
    <w:rsid w:val="00682013"/>
    <w:rsid w:val="00685851"/>
    <w:rsid w:val="0068769F"/>
    <w:rsid w:val="0069074F"/>
    <w:rsid w:val="006908EB"/>
    <w:rsid w:val="0069123A"/>
    <w:rsid w:val="00692877"/>
    <w:rsid w:val="00693B26"/>
    <w:rsid w:val="00694AB1"/>
    <w:rsid w:val="006959FD"/>
    <w:rsid w:val="00696DA6"/>
    <w:rsid w:val="00697456"/>
    <w:rsid w:val="0069779F"/>
    <w:rsid w:val="00697B2F"/>
    <w:rsid w:val="006A008C"/>
    <w:rsid w:val="006A01CF"/>
    <w:rsid w:val="006A024A"/>
    <w:rsid w:val="006A0D08"/>
    <w:rsid w:val="006A183D"/>
    <w:rsid w:val="006A1F85"/>
    <w:rsid w:val="006A2497"/>
    <w:rsid w:val="006A253D"/>
    <w:rsid w:val="006A2A0C"/>
    <w:rsid w:val="006A2A31"/>
    <w:rsid w:val="006A2CC7"/>
    <w:rsid w:val="006A3469"/>
    <w:rsid w:val="006A4002"/>
    <w:rsid w:val="006A5167"/>
    <w:rsid w:val="006A51B9"/>
    <w:rsid w:val="006A589B"/>
    <w:rsid w:val="006A5FD1"/>
    <w:rsid w:val="006A6470"/>
    <w:rsid w:val="006A6B4B"/>
    <w:rsid w:val="006A6C4A"/>
    <w:rsid w:val="006A783A"/>
    <w:rsid w:val="006B0508"/>
    <w:rsid w:val="006B0B07"/>
    <w:rsid w:val="006B10F4"/>
    <w:rsid w:val="006B1DB9"/>
    <w:rsid w:val="006B25F8"/>
    <w:rsid w:val="006B28C2"/>
    <w:rsid w:val="006B2C42"/>
    <w:rsid w:val="006B3BD7"/>
    <w:rsid w:val="006B5549"/>
    <w:rsid w:val="006B57EE"/>
    <w:rsid w:val="006B5A1D"/>
    <w:rsid w:val="006B5FBC"/>
    <w:rsid w:val="006B6097"/>
    <w:rsid w:val="006B69F7"/>
    <w:rsid w:val="006B7846"/>
    <w:rsid w:val="006C0A1C"/>
    <w:rsid w:val="006C1583"/>
    <w:rsid w:val="006C2505"/>
    <w:rsid w:val="006C3313"/>
    <w:rsid w:val="006C336F"/>
    <w:rsid w:val="006C34D2"/>
    <w:rsid w:val="006C364B"/>
    <w:rsid w:val="006C3CA8"/>
    <w:rsid w:val="006C4956"/>
    <w:rsid w:val="006C4C58"/>
    <w:rsid w:val="006C5367"/>
    <w:rsid w:val="006C596B"/>
    <w:rsid w:val="006C66C1"/>
    <w:rsid w:val="006C6E1A"/>
    <w:rsid w:val="006C7923"/>
    <w:rsid w:val="006D042E"/>
    <w:rsid w:val="006D05BE"/>
    <w:rsid w:val="006D074A"/>
    <w:rsid w:val="006D139B"/>
    <w:rsid w:val="006D13E9"/>
    <w:rsid w:val="006D237B"/>
    <w:rsid w:val="006D350C"/>
    <w:rsid w:val="006D5202"/>
    <w:rsid w:val="006D52D9"/>
    <w:rsid w:val="006D5DC1"/>
    <w:rsid w:val="006D5F01"/>
    <w:rsid w:val="006D6106"/>
    <w:rsid w:val="006D630C"/>
    <w:rsid w:val="006D6429"/>
    <w:rsid w:val="006D6453"/>
    <w:rsid w:val="006D7710"/>
    <w:rsid w:val="006D7EFB"/>
    <w:rsid w:val="006E18A6"/>
    <w:rsid w:val="006E29F5"/>
    <w:rsid w:val="006E308E"/>
    <w:rsid w:val="006E3428"/>
    <w:rsid w:val="006E3CFD"/>
    <w:rsid w:val="006E432A"/>
    <w:rsid w:val="006E55F2"/>
    <w:rsid w:val="006E6E73"/>
    <w:rsid w:val="006F0963"/>
    <w:rsid w:val="006F0F25"/>
    <w:rsid w:val="006F303B"/>
    <w:rsid w:val="006F355C"/>
    <w:rsid w:val="006F4B43"/>
    <w:rsid w:val="006F51D7"/>
    <w:rsid w:val="006F6944"/>
    <w:rsid w:val="006F7D97"/>
    <w:rsid w:val="0070096B"/>
    <w:rsid w:val="00700EC9"/>
    <w:rsid w:val="00701E2C"/>
    <w:rsid w:val="00701EBF"/>
    <w:rsid w:val="007020E3"/>
    <w:rsid w:val="0070230B"/>
    <w:rsid w:val="00702706"/>
    <w:rsid w:val="0070400D"/>
    <w:rsid w:val="007041DA"/>
    <w:rsid w:val="0070490A"/>
    <w:rsid w:val="00704944"/>
    <w:rsid w:val="007059BA"/>
    <w:rsid w:val="00705E5A"/>
    <w:rsid w:val="007070BF"/>
    <w:rsid w:val="00707217"/>
    <w:rsid w:val="00707D25"/>
    <w:rsid w:val="00710382"/>
    <w:rsid w:val="00710464"/>
    <w:rsid w:val="00712326"/>
    <w:rsid w:val="0071294A"/>
    <w:rsid w:val="00712BD0"/>
    <w:rsid w:val="00712CDE"/>
    <w:rsid w:val="00713755"/>
    <w:rsid w:val="00713ACA"/>
    <w:rsid w:val="00713D59"/>
    <w:rsid w:val="00714644"/>
    <w:rsid w:val="00715274"/>
    <w:rsid w:val="00715512"/>
    <w:rsid w:val="00715901"/>
    <w:rsid w:val="007176F1"/>
    <w:rsid w:val="00717709"/>
    <w:rsid w:val="00717DD8"/>
    <w:rsid w:val="007201D8"/>
    <w:rsid w:val="007213AE"/>
    <w:rsid w:val="00721618"/>
    <w:rsid w:val="00721955"/>
    <w:rsid w:val="00722604"/>
    <w:rsid w:val="00723AD7"/>
    <w:rsid w:val="00724295"/>
    <w:rsid w:val="00726109"/>
    <w:rsid w:val="007269AA"/>
    <w:rsid w:val="00726CE2"/>
    <w:rsid w:val="00726EB2"/>
    <w:rsid w:val="00727D3C"/>
    <w:rsid w:val="00730BFC"/>
    <w:rsid w:val="007312F9"/>
    <w:rsid w:val="00731448"/>
    <w:rsid w:val="00732119"/>
    <w:rsid w:val="00732343"/>
    <w:rsid w:val="00732372"/>
    <w:rsid w:val="00734602"/>
    <w:rsid w:val="00734701"/>
    <w:rsid w:val="00735366"/>
    <w:rsid w:val="007356B1"/>
    <w:rsid w:val="007362F7"/>
    <w:rsid w:val="00736AF2"/>
    <w:rsid w:val="007374A8"/>
    <w:rsid w:val="00737925"/>
    <w:rsid w:val="00737A32"/>
    <w:rsid w:val="007400AC"/>
    <w:rsid w:val="0074013E"/>
    <w:rsid w:val="00740667"/>
    <w:rsid w:val="007414A5"/>
    <w:rsid w:val="00741CB4"/>
    <w:rsid w:val="00742D21"/>
    <w:rsid w:val="00742E0D"/>
    <w:rsid w:val="00743087"/>
    <w:rsid w:val="00744678"/>
    <w:rsid w:val="00744A6B"/>
    <w:rsid w:val="00744C33"/>
    <w:rsid w:val="007456F4"/>
    <w:rsid w:val="00746F59"/>
    <w:rsid w:val="0074753C"/>
    <w:rsid w:val="007475A5"/>
    <w:rsid w:val="00750518"/>
    <w:rsid w:val="00752375"/>
    <w:rsid w:val="00752F85"/>
    <w:rsid w:val="00753E2D"/>
    <w:rsid w:val="00754109"/>
    <w:rsid w:val="00754180"/>
    <w:rsid w:val="00754AB3"/>
    <w:rsid w:val="00755407"/>
    <w:rsid w:val="0075607E"/>
    <w:rsid w:val="007563FA"/>
    <w:rsid w:val="00756820"/>
    <w:rsid w:val="0075693C"/>
    <w:rsid w:val="00757118"/>
    <w:rsid w:val="0075714E"/>
    <w:rsid w:val="007579D3"/>
    <w:rsid w:val="007579F2"/>
    <w:rsid w:val="007610FE"/>
    <w:rsid w:val="00761260"/>
    <w:rsid w:val="0076138F"/>
    <w:rsid w:val="007624D9"/>
    <w:rsid w:val="00763146"/>
    <w:rsid w:val="007644C3"/>
    <w:rsid w:val="00764792"/>
    <w:rsid w:val="00764C61"/>
    <w:rsid w:val="00764CFC"/>
    <w:rsid w:val="00765BEC"/>
    <w:rsid w:val="0076610D"/>
    <w:rsid w:val="00766F92"/>
    <w:rsid w:val="00767678"/>
    <w:rsid w:val="007677F3"/>
    <w:rsid w:val="007702D3"/>
    <w:rsid w:val="00770BF8"/>
    <w:rsid w:val="007711BA"/>
    <w:rsid w:val="00771D42"/>
    <w:rsid w:val="00772264"/>
    <w:rsid w:val="00773353"/>
    <w:rsid w:val="0077389B"/>
    <w:rsid w:val="007738F4"/>
    <w:rsid w:val="00775108"/>
    <w:rsid w:val="0077534E"/>
    <w:rsid w:val="007765EC"/>
    <w:rsid w:val="00776ACE"/>
    <w:rsid w:val="0077785C"/>
    <w:rsid w:val="00777EA4"/>
    <w:rsid w:val="00780447"/>
    <w:rsid w:val="007808AD"/>
    <w:rsid w:val="00780E11"/>
    <w:rsid w:val="0078156E"/>
    <w:rsid w:val="0078243A"/>
    <w:rsid w:val="007844A9"/>
    <w:rsid w:val="007844F6"/>
    <w:rsid w:val="00784F6A"/>
    <w:rsid w:val="0078584B"/>
    <w:rsid w:val="00786B2F"/>
    <w:rsid w:val="00787896"/>
    <w:rsid w:val="007878E7"/>
    <w:rsid w:val="007902DD"/>
    <w:rsid w:val="00790DF7"/>
    <w:rsid w:val="007912D2"/>
    <w:rsid w:val="00791990"/>
    <w:rsid w:val="00791CA9"/>
    <w:rsid w:val="00794AE5"/>
    <w:rsid w:val="00794B52"/>
    <w:rsid w:val="00794D1C"/>
    <w:rsid w:val="007960B0"/>
    <w:rsid w:val="00796387"/>
    <w:rsid w:val="00796647"/>
    <w:rsid w:val="00797698"/>
    <w:rsid w:val="007A2D23"/>
    <w:rsid w:val="007A2EB7"/>
    <w:rsid w:val="007A324A"/>
    <w:rsid w:val="007A37F8"/>
    <w:rsid w:val="007A4B7B"/>
    <w:rsid w:val="007A4BCD"/>
    <w:rsid w:val="007A5EE9"/>
    <w:rsid w:val="007A77CA"/>
    <w:rsid w:val="007B0D99"/>
    <w:rsid w:val="007B11DB"/>
    <w:rsid w:val="007B13E5"/>
    <w:rsid w:val="007B2558"/>
    <w:rsid w:val="007B31B6"/>
    <w:rsid w:val="007B39D4"/>
    <w:rsid w:val="007B41D6"/>
    <w:rsid w:val="007B4BD1"/>
    <w:rsid w:val="007B4F87"/>
    <w:rsid w:val="007B51BD"/>
    <w:rsid w:val="007B5699"/>
    <w:rsid w:val="007B6BB7"/>
    <w:rsid w:val="007B795E"/>
    <w:rsid w:val="007B7B65"/>
    <w:rsid w:val="007C0F99"/>
    <w:rsid w:val="007C178A"/>
    <w:rsid w:val="007C1C3D"/>
    <w:rsid w:val="007C30B0"/>
    <w:rsid w:val="007C30BD"/>
    <w:rsid w:val="007C323A"/>
    <w:rsid w:val="007C3D51"/>
    <w:rsid w:val="007C3DC5"/>
    <w:rsid w:val="007C3F7F"/>
    <w:rsid w:val="007C486D"/>
    <w:rsid w:val="007C48E5"/>
    <w:rsid w:val="007C5C94"/>
    <w:rsid w:val="007C62FC"/>
    <w:rsid w:val="007C685E"/>
    <w:rsid w:val="007C75E1"/>
    <w:rsid w:val="007C7A17"/>
    <w:rsid w:val="007C7A75"/>
    <w:rsid w:val="007C7F38"/>
    <w:rsid w:val="007D08BE"/>
    <w:rsid w:val="007D138E"/>
    <w:rsid w:val="007D1A3D"/>
    <w:rsid w:val="007D33F2"/>
    <w:rsid w:val="007D3A00"/>
    <w:rsid w:val="007D60D0"/>
    <w:rsid w:val="007D70AB"/>
    <w:rsid w:val="007D7336"/>
    <w:rsid w:val="007E1665"/>
    <w:rsid w:val="007E2908"/>
    <w:rsid w:val="007E3B40"/>
    <w:rsid w:val="007E467D"/>
    <w:rsid w:val="007E4F1C"/>
    <w:rsid w:val="007E51FE"/>
    <w:rsid w:val="007E5803"/>
    <w:rsid w:val="007E6BFF"/>
    <w:rsid w:val="007E7140"/>
    <w:rsid w:val="007E7E60"/>
    <w:rsid w:val="007F0C35"/>
    <w:rsid w:val="007F1070"/>
    <w:rsid w:val="007F1274"/>
    <w:rsid w:val="007F1DEA"/>
    <w:rsid w:val="007F2A1A"/>
    <w:rsid w:val="007F3262"/>
    <w:rsid w:val="007F33BE"/>
    <w:rsid w:val="007F37A2"/>
    <w:rsid w:val="007F4193"/>
    <w:rsid w:val="007F4A7E"/>
    <w:rsid w:val="007F4AB1"/>
    <w:rsid w:val="007F5689"/>
    <w:rsid w:val="007F5933"/>
    <w:rsid w:val="007F5F57"/>
    <w:rsid w:val="007F62A3"/>
    <w:rsid w:val="007F6739"/>
    <w:rsid w:val="007F694D"/>
    <w:rsid w:val="007F6D4E"/>
    <w:rsid w:val="007F7334"/>
    <w:rsid w:val="007F73EC"/>
    <w:rsid w:val="007F78DF"/>
    <w:rsid w:val="007F7C2B"/>
    <w:rsid w:val="00800242"/>
    <w:rsid w:val="008016D4"/>
    <w:rsid w:val="0080220B"/>
    <w:rsid w:val="008028D3"/>
    <w:rsid w:val="0080356E"/>
    <w:rsid w:val="008042E1"/>
    <w:rsid w:val="00804862"/>
    <w:rsid w:val="00804B1A"/>
    <w:rsid w:val="0080552B"/>
    <w:rsid w:val="00805922"/>
    <w:rsid w:val="00812276"/>
    <w:rsid w:val="0081275E"/>
    <w:rsid w:val="00812FE3"/>
    <w:rsid w:val="00813094"/>
    <w:rsid w:val="00814551"/>
    <w:rsid w:val="00814FE5"/>
    <w:rsid w:val="00815D62"/>
    <w:rsid w:val="00815EB0"/>
    <w:rsid w:val="008160C9"/>
    <w:rsid w:val="00816D44"/>
    <w:rsid w:val="00820412"/>
    <w:rsid w:val="00820840"/>
    <w:rsid w:val="008215D6"/>
    <w:rsid w:val="0082176D"/>
    <w:rsid w:val="0082234F"/>
    <w:rsid w:val="00822411"/>
    <w:rsid w:val="00823079"/>
    <w:rsid w:val="00823A16"/>
    <w:rsid w:val="00823A1E"/>
    <w:rsid w:val="00824128"/>
    <w:rsid w:val="00825B04"/>
    <w:rsid w:val="00825BE2"/>
    <w:rsid w:val="00825DFE"/>
    <w:rsid w:val="008261FB"/>
    <w:rsid w:val="00826AA3"/>
    <w:rsid w:val="008271C8"/>
    <w:rsid w:val="00827215"/>
    <w:rsid w:val="00827583"/>
    <w:rsid w:val="00827688"/>
    <w:rsid w:val="00827BB2"/>
    <w:rsid w:val="00830730"/>
    <w:rsid w:val="0083077F"/>
    <w:rsid w:val="00830EA5"/>
    <w:rsid w:val="00831030"/>
    <w:rsid w:val="00831FE8"/>
    <w:rsid w:val="0083314E"/>
    <w:rsid w:val="00833DB9"/>
    <w:rsid w:val="00835548"/>
    <w:rsid w:val="00837665"/>
    <w:rsid w:val="008376E2"/>
    <w:rsid w:val="008403BD"/>
    <w:rsid w:val="00840C13"/>
    <w:rsid w:val="00840C8D"/>
    <w:rsid w:val="0084167C"/>
    <w:rsid w:val="00841EC7"/>
    <w:rsid w:val="0084204D"/>
    <w:rsid w:val="008424AB"/>
    <w:rsid w:val="008429A5"/>
    <w:rsid w:val="00842E7E"/>
    <w:rsid w:val="00842ECD"/>
    <w:rsid w:val="00843DE3"/>
    <w:rsid w:val="00844280"/>
    <w:rsid w:val="0084430F"/>
    <w:rsid w:val="00844606"/>
    <w:rsid w:val="008450AD"/>
    <w:rsid w:val="008462A9"/>
    <w:rsid w:val="00847531"/>
    <w:rsid w:val="008475D7"/>
    <w:rsid w:val="00851081"/>
    <w:rsid w:val="0085159C"/>
    <w:rsid w:val="00851A78"/>
    <w:rsid w:val="00851E22"/>
    <w:rsid w:val="00852170"/>
    <w:rsid w:val="0085223E"/>
    <w:rsid w:val="0085325D"/>
    <w:rsid w:val="00853371"/>
    <w:rsid w:val="008535B4"/>
    <w:rsid w:val="008544AD"/>
    <w:rsid w:val="0085450A"/>
    <w:rsid w:val="00854771"/>
    <w:rsid w:val="00854779"/>
    <w:rsid w:val="00855227"/>
    <w:rsid w:val="00855EAF"/>
    <w:rsid w:val="00856997"/>
    <w:rsid w:val="00856AA1"/>
    <w:rsid w:val="00857A1C"/>
    <w:rsid w:val="00857E45"/>
    <w:rsid w:val="0086216C"/>
    <w:rsid w:val="0086228F"/>
    <w:rsid w:val="00862D68"/>
    <w:rsid w:val="0086368F"/>
    <w:rsid w:val="0086392C"/>
    <w:rsid w:val="00863D6C"/>
    <w:rsid w:val="008659CC"/>
    <w:rsid w:val="00866A62"/>
    <w:rsid w:val="00866EEB"/>
    <w:rsid w:val="0086721E"/>
    <w:rsid w:val="00871EEE"/>
    <w:rsid w:val="00872CEC"/>
    <w:rsid w:val="00873401"/>
    <w:rsid w:val="0087376E"/>
    <w:rsid w:val="00873F0D"/>
    <w:rsid w:val="00874105"/>
    <w:rsid w:val="008746CF"/>
    <w:rsid w:val="0087531E"/>
    <w:rsid w:val="00875973"/>
    <w:rsid w:val="00877553"/>
    <w:rsid w:val="0087787B"/>
    <w:rsid w:val="0088011B"/>
    <w:rsid w:val="008801F0"/>
    <w:rsid w:val="00882609"/>
    <w:rsid w:val="00882D19"/>
    <w:rsid w:val="00882DA0"/>
    <w:rsid w:val="0088431A"/>
    <w:rsid w:val="00885484"/>
    <w:rsid w:val="008863A9"/>
    <w:rsid w:val="008873F1"/>
    <w:rsid w:val="00887749"/>
    <w:rsid w:val="00887987"/>
    <w:rsid w:val="008903B9"/>
    <w:rsid w:val="00890DBE"/>
    <w:rsid w:val="008911ED"/>
    <w:rsid w:val="00891524"/>
    <w:rsid w:val="00891EE8"/>
    <w:rsid w:val="008921B6"/>
    <w:rsid w:val="00892689"/>
    <w:rsid w:val="00892AC2"/>
    <w:rsid w:val="008937E3"/>
    <w:rsid w:val="008939AB"/>
    <w:rsid w:val="0089483D"/>
    <w:rsid w:val="0089514B"/>
    <w:rsid w:val="00895812"/>
    <w:rsid w:val="00895838"/>
    <w:rsid w:val="00895F34"/>
    <w:rsid w:val="00896996"/>
    <w:rsid w:val="00897923"/>
    <w:rsid w:val="008A03B4"/>
    <w:rsid w:val="008A03BF"/>
    <w:rsid w:val="008A2AEB"/>
    <w:rsid w:val="008A2E73"/>
    <w:rsid w:val="008A3635"/>
    <w:rsid w:val="008A3E69"/>
    <w:rsid w:val="008A485A"/>
    <w:rsid w:val="008A69C4"/>
    <w:rsid w:val="008A6C46"/>
    <w:rsid w:val="008A79B3"/>
    <w:rsid w:val="008B07E5"/>
    <w:rsid w:val="008B094D"/>
    <w:rsid w:val="008B0FEC"/>
    <w:rsid w:val="008B1474"/>
    <w:rsid w:val="008B1629"/>
    <w:rsid w:val="008B2BA6"/>
    <w:rsid w:val="008B3109"/>
    <w:rsid w:val="008B3433"/>
    <w:rsid w:val="008B581A"/>
    <w:rsid w:val="008B72A5"/>
    <w:rsid w:val="008B7429"/>
    <w:rsid w:val="008C0ECC"/>
    <w:rsid w:val="008C1389"/>
    <w:rsid w:val="008C15C5"/>
    <w:rsid w:val="008C2B87"/>
    <w:rsid w:val="008C2D72"/>
    <w:rsid w:val="008C3178"/>
    <w:rsid w:val="008C596A"/>
    <w:rsid w:val="008C60BB"/>
    <w:rsid w:val="008C6B3F"/>
    <w:rsid w:val="008D02B5"/>
    <w:rsid w:val="008D07E0"/>
    <w:rsid w:val="008D0E6E"/>
    <w:rsid w:val="008D1111"/>
    <w:rsid w:val="008D1576"/>
    <w:rsid w:val="008D1B8D"/>
    <w:rsid w:val="008D1D6A"/>
    <w:rsid w:val="008D2154"/>
    <w:rsid w:val="008D24A6"/>
    <w:rsid w:val="008D474C"/>
    <w:rsid w:val="008D5175"/>
    <w:rsid w:val="008D7DF4"/>
    <w:rsid w:val="008D7E87"/>
    <w:rsid w:val="008E06B9"/>
    <w:rsid w:val="008E0A57"/>
    <w:rsid w:val="008E1E94"/>
    <w:rsid w:val="008E2183"/>
    <w:rsid w:val="008E25CC"/>
    <w:rsid w:val="008E2D21"/>
    <w:rsid w:val="008E3AFC"/>
    <w:rsid w:val="008E544A"/>
    <w:rsid w:val="008E7C60"/>
    <w:rsid w:val="008F0703"/>
    <w:rsid w:val="008F1823"/>
    <w:rsid w:val="008F18C8"/>
    <w:rsid w:val="008F1924"/>
    <w:rsid w:val="008F2053"/>
    <w:rsid w:val="008F244E"/>
    <w:rsid w:val="008F29FD"/>
    <w:rsid w:val="008F348B"/>
    <w:rsid w:val="008F4DC0"/>
    <w:rsid w:val="008F62AF"/>
    <w:rsid w:val="008F6447"/>
    <w:rsid w:val="008F6DD7"/>
    <w:rsid w:val="008F785A"/>
    <w:rsid w:val="008F7ABD"/>
    <w:rsid w:val="00900280"/>
    <w:rsid w:val="00903187"/>
    <w:rsid w:val="009041D0"/>
    <w:rsid w:val="00905DA2"/>
    <w:rsid w:val="0090667C"/>
    <w:rsid w:val="00906C57"/>
    <w:rsid w:val="009071D3"/>
    <w:rsid w:val="0090786B"/>
    <w:rsid w:val="009078BE"/>
    <w:rsid w:val="00910D98"/>
    <w:rsid w:val="00910E4C"/>
    <w:rsid w:val="00911243"/>
    <w:rsid w:val="00911279"/>
    <w:rsid w:val="00911F58"/>
    <w:rsid w:val="0091409C"/>
    <w:rsid w:val="009143E9"/>
    <w:rsid w:val="009153A4"/>
    <w:rsid w:val="009157F1"/>
    <w:rsid w:val="00915AA6"/>
    <w:rsid w:val="00915D13"/>
    <w:rsid w:val="0091600A"/>
    <w:rsid w:val="009163FD"/>
    <w:rsid w:val="00916461"/>
    <w:rsid w:val="00916D6D"/>
    <w:rsid w:val="0091725B"/>
    <w:rsid w:val="00920344"/>
    <w:rsid w:val="00920C64"/>
    <w:rsid w:val="009211CA"/>
    <w:rsid w:val="009221C2"/>
    <w:rsid w:val="0092248F"/>
    <w:rsid w:val="00922EEE"/>
    <w:rsid w:val="0092324C"/>
    <w:rsid w:val="00923EE3"/>
    <w:rsid w:val="009243A2"/>
    <w:rsid w:val="00924F65"/>
    <w:rsid w:val="00925225"/>
    <w:rsid w:val="0092537F"/>
    <w:rsid w:val="009302A1"/>
    <w:rsid w:val="00931EDE"/>
    <w:rsid w:val="009321AC"/>
    <w:rsid w:val="00932C8B"/>
    <w:rsid w:val="00933177"/>
    <w:rsid w:val="0093517B"/>
    <w:rsid w:val="0093578A"/>
    <w:rsid w:val="00935B94"/>
    <w:rsid w:val="00936573"/>
    <w:rsid w:val="00936AD5"/>
    <w:rsid w:val="009370FD"/>
    <w:rsid w:val="00940141"/>
    <w:rsid w:val="0094030B"/>
    <w:rsid w:val="00940459"/>
    <w:rsid w:val="00940EB0"/>
    <w:rsid w:val="00941000"/>
    <w:rsid w:val="00941315"/>
    <w:rsid w:val="009415AA"/>
    <w:rsid w:val="00942014"/>
    <w:rsid w:val="009439A1"/>
    <w:rsid w:val="00944B02"/>
    <w:rsid w:val="00945D03"/>
    <w:rsid w:val="00945D68"/>
    <w:rsid w:val="0094610E"/>
    <w:rsid w:val="0094648A"/>
    <w:rsid w:val="00946E31"/>
    <w:rsid w:val="00946E7E"/>
    <w:rsid w:val="009476E9"/>
    <w:rsid w:val="00947905"/>
    <w:rsid w:val="00947E9B"/>
    <w:rsid w:val="0095070F"/>
    <w:rsid w:val="00950CC6"/>
    <w:rsid w:val="0095156F"/>
    <w:rsid w:val="0095187A"/>
    <w:rsid w:val="00951967"/>
    <w:rsid w:val="00952669"/>
    <w:rsid w:val="009541E7"/>
    <w:rsid w:val="00954C0A"/>
    <w:rsid w:val="00954E68"/>
    <w:rsid w:val="0095537F"/>
    <w:rsid w:val="00955683"/>
    <w:rsid w:val="00955C46"/>
    <w:rsid w:val="00956F75"/>
    <w:rsid w:val="00957CEE"/>
    <w:rsid w:val="00960590"/>
    <w:rsid w:val="00960A7F"/>
    <w:rsid w:val="00960E68"/>
    <w:rsid w:val="009611F9"/>
    <w:rsid w:val="009623B9"/>
    <w:rsid w:val="00962536"/>
    <w:rsid w:val="00962654"/>
    <w:rsid w:val="0096291B"/>
    <w:rsid w:val="00963C5E"/>
    <w:rsid w:val="00964C2F"/>
    <w:rsid w:val="00964C9F"/>
    <w:rsid w:val="009659A8"/>
    <w:rsid w:val="00966BA7"/>
    <w:rsid w:val="00967A9D"/>
    <w:rsid w:val="00970252"/>
    <w:rsid w:val="0097093A"/>
    <w:rsid w:val="00970E8D"/>
    <w:rsid w:val="00970E9F"/>
    <w:rsid w:val="009712BC"/>
    <w:rsid w:val="0097144D"/>
    <w:rsid w:val="009721B1"/>
    <w:rsid w:val="009729D1"/>
    <w:rsid w:val="00973149"/>
    <w:rsid w:val="00973833"/>
    <w:rsid w:val="009738DC"/>
    <w:rsid w:val="00973993"/>
    <w:rsid w:val="00973DF6"/>
    <w:rsid w:val="00973F8A"/>
    <w:rsid w:val="00974005"/>
    <w:rsid w:val="00974B66"/>
    <w:rsid w:val="00975FCF"/>
    <w:rsid w:val="009760D5"/>
    <w:rsid w:val="009768DB"/>
    <w:rsid w:val="009771AA"/>
    <w:rsid w:val="00980391"/>
    <w:rsid w:val="0098067E"/>
    <w:rsid w:val="009808A4"/>
    <w:rsid w:val="0098168F"/>
    <w:rsid w:val="00981F76"/>
    <w:rsid w:val="0098313C"/>
    <w:rsid w:val="009834F9"/>
    <w:rsid w:val="009848A4"/>
    <w:rsid w:val="00985115"/>
    <w:rsid w:val="00985133"/>
    <w:rsid w:val="009859B6"/>
    <w:rsid w:val="00985C1E"/>
    <w:rsid w:val="00985E0E"/>
    <w:rsid w:val="009860C3"/>
    <w:rsid w:val="00987250"/>
    <w:rsid w:val="009908B0"/>
    <w:rsid w:val="00990C6A"/>
    <w:rsid w:val="009911DB"/>
    <w:rsid w:val="009918BC"/>
    <w:rsid w:val="009925F0"/>
    <w:rsid w:val="00992AA5"/>
    <w:rsid w:val="0099355D"/>
    <w:rsid w:val="00993AB9"/>
    <w:rsid w:val="00994757"/>
    <w:rsid w:val="0099503D"/>
    <w:rsid w:val="0099515A"/>
    <w:rsid w:val="00996278"/>
    <w:rsid w:val="009965A1"/>
    <w:rsid w:val="009973F4"/>
    <w:rsid w:val="009A05FD"/>
    <w:rsid w:val="009A0A69"/>
    <w:rsid w:val="009A11F1"/>
    <w:rsid w:val="009A190D"/>
    <w:rsid w:val="009A3502"/>
    <w:rsid w:val="009A38CE"/>
    <w:rsid w:val="009A4B6E"/>
    <w:rsid w:val="009A52CA"/>
    <w:rsid w:val="009A62F5"/>
    <w:rsid w:val="009A6FD1"/>
    <w:rsid w:val="009A70A3"/>
    <w:rsid w:val="009A736B"/>
    <w:rsid w:val="009A77DF"/>
    <w:rsid w:val="009A7B3D"/>
    <w:rsid w:val="009A7BD2"/>
    <w:rsid w:val="009B07A8"/>
    <w:rsid w:val="009B07B6"/>
    <w:rsid w:val="009B1986"/>
    <w:rsid w:val="009B1F35"/>
    <w:rsid w:val="009B289A"/>
    <w:rsid w:val="009B3083"/>
    <w:rsid w:val="009B33CB"/>
    <w:rsid w:val="009B342A"/>
    <w:rsid w:val="009B44BB"/>
    <w:rsid w:val="009B44DF"/>
    <w:rsid w:val="009B504B"/>
    <w:rsid w:val="009B51F1"/>
    <w:rsid w:val="009B555E"/>
    <w:rsid w:val="009B604F"/>
    <w:rsid w:val="009B6079"/>
    <w:rsid w:val="009B6C05"/>
    <w:rsid w:val="009B7304"/>
    <w:rsid w:val="009B7C2D"/>
    <w:rsid w:val="009C03D1"/>
    <w:rsid w:val="009C1719"/>
    <w:rsid w:val="009C4169"/>
    <w:rsid w:val="009C4C65"/>
    <w:rsid w:val="009C4CAD"/>
    <w:rsid w:val="009C59F2"/>
    <w:rsid w:val="009C7CCD"/>
    <w:rsid w:val="009D0EC0"/>
    <w:rsid w:val="009D1454"/>
    <w:rsid w:val="009D23BB"/>
    <w:rsid w:val="009D3119"/>
    <w:rsid w:val="009D3F01"/>
    <w:rsid w:val="009D43C3"/>
    <w:rsid w:val="009D51C5"/>
    <w:rsid w:val="009D5EEE"/>
    <w:rsid w:val="009D623D"/>
    <w:rsid w:val="009D6F9A"/>
    <w:rsid w:val="009E1264"/>
    <w:rsid w:val="009E142B"/>
    <w:rsid w:val="009E25A6"/>
    <w:rsid w:val="009E30F3"/>
    <w:rsid w:val="009E3324"/>
    <w:rsid w:val="009E377E"/>
    <w:rsid w:val="009E4517"/>
    <w:rsid w:val="009E4DB2"/>
    <w:rsid w:val="009E50D4"/>
    <w:rsid w:val="009E589D"/>
    <w:rsid w:val="009E5D91"/>
    <w:rsid w:val="009E6052"/>
    <w:rsid w:val="009E6868"/>
    <w:rsid w:val="009E69B4"/>
    <w:rsid w:val="009E73D4"/>
    <w:rsid w:val="009E78C8"/>
    <w:rsid w:val="009F0F61"/>
    <w:rsid w:val="009F1D47"/>
    <w:rsid w:val="009F22A4"/>
    <w:rsid w:val="009F26DF"/>
    <w:rsid w:val="009F2922"/>
    <w:rsid w:val="009F32E8"/>
    <w:rsid w:val="009F47BF"/>
    <w:rsid w:val="009F47E5"/>
    <w:rsid w:val="009F49C5"/>
    <w:rsid w:val="009F5105"/>
    <w:rsid w:val="009F530B"/>
    <w:rsid w:val="009F60D8"/>
    <w:rsid w:val="009F65FD"/>
    <w:rsid w:val="009F68F2"/>
    <w:rsid w:val="009F6A5B"/>
    <w:rsid w:val="009F754D"/>
    <w:rsid w:val="00A0231D"/>
    <w:rsid w:val="00A034D8"/>
    <w:rsid w:val="00A03933"/>
    <w:rsid w:val="00A03CE3"/>
    <w:rsid w:val="00A03ED6"/>
    <w:rsid w:val="00A05CD1"/>
    <w:rsid w:val="00A064EF"/>
    <w:rsid w:val="00A076E5"/>
    <w:rsid w:val="00A103CB"/>
    <w:rsid w:val="00A10D2B"/>
    <w:rsid w:val="00A12A06"/>
    <w:rsid w:val="00A13008"/>
    <w:rsid w:val="00A1356A"/>
    <w:rsid w:val="00A13EE8"/>
    <w:rsid w:val="00A14081"/>
    <w:rsid w:val="00A1423A"/>
    <w:rsid w:val="00A15554"/>
    <w:rsid w:val="00A15B9C"/>
    <w:rsid w:val="00A15C7A"/>
    <w:rsid w:val="00A168FF"/>
    <w:rsid w:val="00A17089"/>
    <w:rsid w:val="00A1752C"/>
    <w:rsid w:val="00A179BA"/>
    <w:rsid w:val="00A17D7C"/>
    <w:rsid w:val="00A20015"/>
    <w:rsid w:val="00A21372"/>
    <w:rsid w:val="00A21ED2"/>
    <w:rsid w:val="00A22F56"/>
    <w:rsid w:val="00A233E9"/>
    <w:rsid w:val="00A247C3"/>
    <w:rsid w:val="00A258A9"/>
    <w:rsid w:val="00A25AA2"/>
    <w:rsid w:val="00A27622"/>
    <w:rsid w:val="00A27E05"/>
    <w:rsid w:val="00A30731"/>
    <w:rsid w:val="00A30AF2"/>
    <w:rsid w:val="00A30DAA"/>
    <w:rsid w:val="00A31243"/>
    <w:rsid w:val="00A314A3"/>
    <w:rsid w:val="00A315CF"/>
    <w:rsid w:val="00A316E2"/>
    <w:rsid w:val="00A31890"/>
    <w:rsid w:val="00A32C7A"/>
    <w:rsid w:val="00A344AD"/>
    <w:rsid w:val="00A3457F"/>
    <w:rsid w:val="00A35BD8"/>
    <w:rsid w:val="00A35DF0"/>
    <w:rsid w:val="00A367A4"/>
    <w:rsid w:val="00A37304"/>
    <w:rsid w:val="00A379A7"/>
    <w:rsid w:val="00A40CD8"/>
    <w:rsid w:val="00A40FFC"/>
    <w:rsid w:val="00A422E1"/>
    <w:rsid w:val="00A42FDF"/>
    <w:rsid w:val="00A43B19"/>
    <w:rsid w:val="00A44CFF"/>
    <w:rsid w:val="00A451AE"/>
    <w:rsid w:val="00A45A2E"/>
    <w:rsid w:val="00A45E66"/>
    <w:rsid w:val="00A4677E"/>
    <w:rsid w:val="00A47B5C"/>
    <w:rsid w:val="00A51A12"/>
    <w:rsid w:val="00A52037"/>
    <w:rsid w:val="00A521E1"/>
    <w:rsid w:val="00A52B79"/>
    <w:rsid w:val="00A542A3"/>
    <w:rsid w:val="00A5537D"/>
    <w:rsid w:val="00A554A1"/>
    <w:rsid w:val="00A559BD"/>
    <w:rsid w:val="00A56406"/>
    <w:rsid w:val="00A57B5D"/>
    <w:rsid w:val="00A607DB"/>
    <w:rsid w:val="00A60FCC"/>
    <w:rsid w:val="00A61070"/>
    <w:rsid w:val="00A61316"/>
    <w:rsid w:val="00A61DAA"/>
    <w:rsid w:val="00A62715"/>
    <w:rsid w:val="00A62922"/>
    <w:rsid w:val="00A62EB3"/>
    <w:rsid w:val="00A63DA6"/>
    <w:rsid w:val="00A650F8"/>
    <w:rsid w:val="00A65CEF"/>
    <w:rsid w:val="00A67714"/>
    <w:rsid w:val="00A67871"/>
    <w:rsid w:val="00A678B9"/>
    <w:rsid w:val="00A700CC"/>
    <w:rsid w:val="00A70156"/>
    <w:rsid w:val="00A70186"/>
    <w:rsid w:val="00A70E28"/>
    <w:rsid w:val="00A7126B"/>
    <w:rsid w:val="00A7161E"/>
    <w:rsid w:val="00A71B4D"/>
    <w:rsid w:val="00A72015"/>
    <w:rsid w:val="00A7282E"/>
    <w:rsid w:val="00A7319E"/>
    <w:rsid w:val="00A74993"/>
    <w:rsid w:val="00A75EAE"/>
    <w:rsid w:val="00A76826"/>
    <w:rsid w:val="00A774A5"/>
    <w:rsid w:val="00A7799B"/>
    <w:rsid w:val="00A77CA8"/>
    <w:rsid w:val="00A808D3"/>
    <w:rsid w:val="00A82272"/>
    <w:rsid w:val="00A827A2"/>
    <w:rsid w:val="00A8300D"/>
    <w:rsid w:val="00A85A5B"/>
    <w:rsid w:val="00A85CD5"/>
    <w:rsid w:val="00A86147"/>
    <w:rsid w:val="00A86324"/>
    <w:rsid w:val="00A870F8"/>
    <w:rsid w:val="00A90593"/>
    <w:rsid w:val="00A920DC"/>
    <w:rsid w:val="00A92AC4"/>
    <w:rsid w:val="00A93303"/>
    <w:rsid w:val="00A933BE"/>
    <w:rsid w:val="00A93615"/>
    <w:rsid w:val="00A93907"/>
    <w:rsid w:val="00A93B35"/>
    <w:rsid w:val="00A95492"/>
    <w:rsid w:val="00A95F20"/>
    <w:rsid w:val="00A95F55"/>
    <w:rsid w:val="00A962E3"/>
    <w:rsid w:val="00A964BF"/>
    <w:rsid w:val="00A97355"/>
    <w:rsid w:val="00A973F1"/>
    <w:rsid w:val="00A977F4"/>
    <w:rsid w:val="00AA0E32"/>
    <w:rsid w:val="00AA104F"/>
    <w:rsid w:val="00AA11D5"/>
    <w:rsid w:val="00AA18B9"/>
    <w:rsid w:val="00AA19C8"/>
    <w:rsid w:val="00AA1C59"/>
    <w:rsid w:val="00AA242D"/>
    <w:rsid w:val="00AA3ABC"/>
    <w:rsid w:val="00AA3E37"/>
    <w:rsid w:val="00AA5D1F"/>
    <w:rsid w:val="00AA6138"/>
    <w:rsid w:val="00AA61A4"/>
    <w:rsid w:val="00AA75D4"/>
    <w:rsid w:val="00AA7A52"/>
    <w:rsid w:val="00AB0546"/>
    <w:rsid w:val="00AB0632"/>
    <w:rsid w:val="00AB08B9"/>
    <w:rsid w:val="00AB0FD3"/>
    <w:rsid w:val="00AB2690"/>
    <w:rsid w:val="00AB2E96"/>
    <w:rsid w:val="00AB352A"/>
    <w:rsid w:val="00AB4E61"/>
    <w:rsid w:val="00AB5F5D"/>
    <w:rsid w:val="00AB68B8"/>
    <w:rsid w:val="00AC088F"/>
    <w:rsid w:val="00AC1DE0"/>
    <w:rsid w:val="00AC1F74"/>
    <w:rsid w:val="00AC20A4"/>
    <w:rsid w:val="00AC4E9B"/>
    <w:rsid w:val="00AC535B"/>
    <w:rsid w:val="00AC5465"/>
    <w:rsid w:val="00AC5474"/>
    <w:rsid w:val="00AC58CD"/>
    <w:rsid w:val="00AC5D6F"/>
    <w:rsid w:val="00AD0F10"/>
    <w:rsid w:val="00AD12BC"/>
    <w:rsid w:val="00AD1312"/>
    <w:rsid w:val="00AD1719"/>
    <w:rsid w:val="00AD2E8C"/>
    <w:rsid w:val="00AD3FFC"/>
    <w:rsid w:val="00AD4C16"/>
    <w:rsid w:val="00AD5065"/>
    <w:rsid w:val="00AD5CA5"/>
    <w:rsid w:val="00AD5F0B"/>
    <w:rsid w:val="00AD653B"/>
    <w:rsid w:val="00AD7C72"/>
    <w:rsid w:val="00AE03DD"/>
    <w:rsid w:val="00AE0E62"/>
    <w:rsid w:val="00AE11CA"/>
    <w:rsid w:val="00AE27D4"/>
    <w:rsid w:val="00AE2958"/>
    <w:rsid w:val="00AE4B4D"/>
    <w:rsid w:val="00AE7DE7"/>
    <w:rsid w:val="00AF02CC"/>
    <w:rsid w:val="00AF074E"/>
    <w:rsid w:val="00AF07FB"/>
    <w:rsid w:val="00AF1AF7"/>
    <w:rsid w:val="00AF1F38"/>
    <w:rsid w:val="00AF451A"/>
    <w:rsid w:val="00AF49AF"/>
    <w:rsid w:val="00AF57A6"/>
    <w:rsid w:val="00AF5927"/>
    <w:rsid w:val="00AF5E4F"/>
    <w:rsid w:val="00AF6155"/>
    <w:rsid w:val="00AF7CB1"/>
    <w:rsid w:val="00AF7DC8"/>
    <w:rsid w:val="00B00080"/>
    <w:rsid w:val="00B006DF"/>
    <w:rsid w:val="00B00756"/>
    <w:rsid w:val="00B00985"/>
    <w:rsid w:val="00B00CB4"/>
    <w:rsid w:val="00B017C2"/>
    <w:rsid w:val="00B02B07"/>
    <w:rsid w:val="00B03F67"/>
    <w:rsid w:val="00B04DA1"/>
    <w:rsid w:val="00B06489"/>
    <w:rsid w:val="00B071C8"/>
    <w:rsid w:val="00B10015"/>
    <w:rsid w:val="00B104D1"/>
    <w:rsid w:val="00B10923"/>
    <w:rsid w:val="00B11CA0"/>
    <w:rsid w:val="00B1290C"/>
    <w:rsid w:val="00B12964"/>
    <w:rsid w:val="00B149DD"/>
    <w:rsid w:val="00B15358"/>
    <w:rsid w:val="00B1550A"/>
    <w:rsid w:val="00B156F9"/>
    <w:rsid w:val="00B178A3"/>
    <w:rsid w:val="00B17AAE"/>
    <w:rsid w:val="00B17C92"/>
    <w:rsid w:val="00B209C2"/>
    <w:rsid w:val="00B21AA6"/>
    <w:rsid w:val="00B21B57"/>
    <w:rsid w:val="00B2289B"/>
    <w:rsid w:val="00B23014"/>
    <w:rsid w:val="00B24FDC"/>
    <w:rsid w:val="00B25033"/>
    <w:rsid w:val="00B25E41"/>
    <w:rsid w:val="00B2718D"/>
    <w:rsid w:val="00B3080A"/>
    <w:rsid w:val="00B30B90"/>
    <w:rsid w:val="00B318AD"/>
    <w:rsid w:val="00B32135"/>
    <w:rsid w:val="00B32A78"/>
    <w:rsid w:val="00B32DE5"/>
    <w:rsid w:val="00B32EE1"/>
    <w:rsid w:val="00B33888"/>
    <w:rsid w:val="00B34485"/>
    <w:rsid w:val="00B34537"/>
    <w:rsid w:val="00B34987"/>
    <w:rsid w:val="00B35209"/>
    <w:rsid w:val="00B35622"/>
    <w:rsid w:val="00B35647"/>
    <w:rsid w:val="00B35B0B"/>
    <w:rsid w:val="00B35BF3"/>
    <w:rsid w:val="00B36191"/>
    <w:rsid w:val="00B36D3B"/>
    <w:rsid w:val="00B37089"/>
    <w:rsid w:val="00B372BC"/>
    <w:rsid w:val="00B375F4"/>
    <w:rsid w:val="00B37917"/>
    <w:rsid w:val="00B37D87"/>
    <w:rsid w:val="00B37EF1"/>
    <w:rsid w:val="00B40D90"/>
    <w:rsid w:val="00B41BA4"/>
    <w:rsid w:val="00B42678"/>
    <w:rsid w:val="00B42C5B"/>
    <w:rsid w:val="00B432DF"/>
    <w:rsid w:val="00B434C2"/>
    <w:rsid w:val="00B44C7B"/>
    <w:rsid w:val="00B462E5"/>
    <w:rsid w:val="00B46EC5"/>
    <w:rsid w:val="00B4735F"/>
    <w:rsid w:val="00B47FC4"/>
    <w:rsid w:val="00B50129"/>
    <w:rsid w:val="00B50150"/>
    <w:rsid w:val="00B51934"/>
    <w:rsid w:val="00B51CC6"/>
    <w:rsid w:val="00B51EB1"/>
    <w:rsid w:val="00B52613"/>
    <w:rsid w:val="00B532CF"/>
    <w:rsid w:val="00B53654"/>
    <w:rsid w:val="00B536D7"/>
    <w:rsid w:val="00B54A74"/>
    <w:rsid w:val="00B54CFF"/>
    <w:rsid w:val="00B5524B"/>
    <w:rsid w:val="00B556A8"/>
    <w:rsid w:val="00B560F1"/>
    <w:rsid w:val="00B56296"/>
    <w:rsid w:val="00B56956"/>
    <w:rsid w:val="00B57641"/>
    <w:rsid w:val="00B57B35"/>
    <w:rsid w:val="00B60EF4"/>
    <w:rsid w:val="00B61274"/>
    <w:rsid w:val="00B6147C"/>
    <w:rsid w:val="00B62188"/>
    <w:rsid w:val="00B6224C"/>
    <w:rsid w:val="00B622D4"/>
    <w:rsid w:val="00B627F2"/>
    <w:rsid w:val="00B62A80"/>
    <w:rsid w:val="00B6393A"/>
    <w:rsid w:val="00B64A28"/>
    <w:rsid w:val="00B64E97"/>
    <w:rsid w:val="00B64ED9"/>
    <w:rsid w:val="00B674A7"/>
    <w:rsid w:val="00B6781B"/>
    <w:rsid w:val="00B67ADD"/>
    <w:rsid w:val="00B70D0C"/>
    <w:rsid w:val="00B70F2C"/>
    <w:rsid w:val="00B73C2D"/>
    <w:rsid w:val="00B74290"/>
    <w:rsid w:val="00B756B1"/>
    <w:rsid w:val="00B76BDD"/>
    <w:rsid w:val="00B7750A"/>
    <w:rsid w:val="00B80ADA"/>
    <w:rsid w:val="00B80CDE"/>
    <w:rsid w:val="00B8182E"/>
    <w:rsid w:val="00B81846"/>
    <w:rsid w:val="00B825E8"/>
    <w:rsid w:val="00B82CF1"/>
    <w:rsid w:val="00B855B8"/>
    <w:rsid w:val="00B85A89"/>
    <w:rsid w:val="00B85EEA"/>
    <w:rsid w:val="00B863F8"/>
    <w:rsid w:val="00B87448"/>
    <w:rsid w:val="00B874E0"/>
    <w:rsid w:val="00B87A7A"/>
    <w:rsid w:val="00B87E88"/>
    <w:rsid w:val="00B87FF8"/>
    <w:rsid w:val="00B90233"/>
    <w:rsid w:val="00B902BE"/>
    <w:rsid w:val="00B903AC"/>
    <w:rsid w:val="00B911CA"/>
    <w:rsid w:val="00B91659"/>
    <w:rsid w:val="00B93398"/>
    <w:rsid w:val="00B93538"/>
    <w:rsid w:val="00B9443A"/>
    <w:rsid w:val="00B94AA0"/>
    <w:rsid w:val="00B94E36"/>
    <w:rsid w:val="00B95813"/>
    <w:rsid w:val="00B9591C"/>
    <w:rsid w:val="00B95BB2"/>
    <w:rsid w:val="00B95EA8"/>
    <w:rsid w:val="00BA00D6"/>
    <w:rsid w:val="00BA01BC"/>
    <w:rsid w:val="00BA0449"/>
    <w:rsid w:val="00BA1935"/>
    <w:rsid w:val="00BA2033"/>
    <w:rsid w:val="00BA2563"/>
    <w:rsid w:val="00BA30A1"/>
    <w:rsid w:val="00BA3F9E"/>
    <w:rsid w:val="00BA4994"/>
    <w:rsid w:val="00BA4FEE"/>
    <w:rsid w:val="00BA5462"/>
    <w:rsid w:val="00BA5C78"/>
    <w:rsid w:val="00BA66E0"/>
    <w:rsid w:val="00BA67AD"/>
    <w:rsid w:val="00BA684C"/>
    <w:rsid w:val="00BA6851"/>
    <w:rsid w:val="00BA6A6A"/>
    <w:rsid w:val="00BA6F42"/>
    <w:rsid w:val="00BA780E"/>
    <w:rsid w:val="00BA7A5F"/>
    <w:rsid w:val="00BB0408"/>
    <w:rsid w:val="00BB0C74"/>
    <w:rsid w:val="00BB1604"/>
    <w:rsid w:val="00BB1AEA"/>
    <w:rsid w:val="00BB2EB2"/>
    <w:rsid w:val="00BB334C"/>
    <w:rsid w:val="00BB3599"/>
    <w:rsid w:val="00BB35B7"/>
    <w:rsid w:val="00BB3D0A"/>
    <w:rsid w:val="00BB3F25"/>
    <w:rsid w:val="00BB4120"/>
    <w:rsid w:val="00BB44B0"/>
    <w:rsid w:val="00BB46E5"/>
    <w:rsid w:val="00BB5FCD"/>
    <w:rsid w:val="00BB633C"/>
    <w:rsid w:val="00BB6A41"/>
    <w:rsid w:val="00BB6DB7"/>
    <w:rsid w:val="00BB7663"/>
    <w:rsid w:val="00BB77F0"/>
    <w:rsid w:val="00BC08AD"/>
    <w:rsid w:val="00BC450E"/>
    <w:rsid w:val="00BC4AD4"/>
    <w:rsid w:val="00BC4F7C"/>
    <w:rsid w:val="00BC5425"/>
    <w:rsid w:val="00BC6854"/>
    <w:rsid w:val="00BC7540"/>
    <w:rsid w:val="00BC7571"/>
    <w:rsid w:val="00BC7651"/>
    <w:rsid w:val="00BC7F05"/>
    <w:rsid w:val="00BD1E88"/>
    <w:rsid w:val="00BD240D"/>
    <w:rsid w:val="00BD2C25"/>
    <w:rsid w:val="00BD3BD5"/>
    <w:rsid w:val="00BD3FD9"/>
    <w:rsid w:val="00BD4558"/>
    <w:rsid w:val="00BD4DCD"/>
    <w:rsid w:val="00BD562A"/>
    <w:rsid w:val="00BD5DC9"/>
    <w:rsid w:val="00BD61CD"/>
    <w:rsid w:val="00BD6D0D"/>
    <w:rsid w:val="00BD73AF"/>
    <w:rsid w:val="00BE0ED3"/>
    <w:rsid w:val="00BE1752"/>
    <w:rsid w:val="00BE1F72"/>
    <w:rsid w:val="00BE238B"/>
    <w:rsid w:val="00BE2BA3"/>
    <w:rsid w:val="00BE33D2"/>
    <w:rsid w:val="00BE3940"/>
    <w:rsid w:val="00BE3ABC"/>
    <w:rsid w:val="00BE4891"/>
    <w:rsid w:val="00BE5306"/>
    <w:rsid w:val="00BE5321"/>
    <w:rsid w:val="00BE5720"/>
    <w:rsid w:val="00BE57DB"/>
    <w:rsid w:val="00BE5F5E"/>
    <w:rsid w:val="00BE7EBF"/>
    <w:rsid w:val="00BF0E3B"/>
    <w:rsid w:val="00BF0F56"/>
    <w:rsid w:val="00BF1198"/>
    <w:rsid w:val="00BF1A23"/>
    <w:rsid w:val="00BF29B7"/>
    <w:rsid w:val="00BF3052"/>
    <w:rsid w:val="00BF40B4"/>
    <w:rsid w:val="00BF47FC"/>
    <w:rsid w:val="00BF5DE4"/>
    <w:rsid w:val="00BF680A"/>
    <w:rsid w:val="00BF7C9E"/>
    <w:rsid w:val="00BF7FF4"/>
    <w:rsid w:val="00C025B3"/>
    <w:rsid w:val="00C02CB4"/>
    <w:rsid w:val="00C03C19"/>
    <w:rsid w:val="00C059AB"/>
    <w:rsid w:val="00C06E19"/>
    <w:rsid w:val="00C1099D"/>
    <w:rsid w:val="00C10B91"/>
    <w:rsid w:val="00C11A7F"/>
    <w:rsid w:val="00C12E91"/>
    <w:rsid w:val="00C1401C"/>
    <w:rsid w:val="00C143EF"/>
    <w:rsid w:val="00C1523A"/>
    <w:rsid w:val="00C15781"/>
    <w:rsid w:val="00C15F35"/>
    <w:rsid w:val="00C16FCF"/>
    <w:rsid w:val="00C2125F"/>
    <w:rsid w:val="00C2139E"/>
    <w:rsid w:val="00C2157C"/>
    <w:rsid w:val="00C2157D"/>
    <w:rsid w:val="00C219D6"/>
    <w:rsid w:val="00C21F16"/>
    <w:rsid w:val="00C228DD"/>
    <w:rsid w:val="00C23458"/>
    <w:rsid w:val="00C23DAD"/>
    <w:rsid w:val="00C24609"/>
    <w:rsid w:val="00C24DA2"/>
    <w:rsid w:val="00C24FD4"/>
    <w:rsid w:val="00C251C0"/>
    <w:rsid w:val="00C2752B"/>
    <w:rsid w:val="00C27FE6"/>
    <w:rsid w:val="00C301A8"/>
    <w:rsid w:val="00C30373"/>
    <w:rsid w:val="00C30387"/>
    <w:rsid w:val="00C30829"/>
    <w:rsid w:val="00C30B4A"/>
    <w:rsid w:val="00C317B8"/>
    <w:rsid w:val="00C33886"/>
    <w:rsid w:val="00C33FBF"/>
    <w:rsid w:val="00C346BB"/>
    <w:rsid w:val="00C3514D"/>
    <w:rsid w:val="00C3572C"/>
    <w:rsid w:val="00C35A8D"/>
    <w:rsid w:val="00C35C46"/>
    <w:rsid w:val="00C36589"/>
    <w:rsid w:val="00C36D55"/>
    <w:rsid w:val="00C3705C"/>
    <w:rsid w:val="00C371A5"/>
    <w:rsid w:val="00C404A9"/>
    <w:rsid w:val="00C40B19"/>
    <w:rsid w:val="00C40C17"/>
    <w:rsid w:val="00C41085"/>
    <w:rsid w:val="00C41959"/>
    <w:rsid w:val="00C41D39"/>
    <w:rsid w:val="00C43325"/>
    <w:rsid w:val="00C43B51"/>
    <w:rsid w:val="00C4485C"/>
    <w:rsid w:val="00C47790"/>
    <w:rsid w:val="00C47BF6"/>
    <w:rsid w:val="00C50029"/>
    <w:rsid w:val="00C500CC"/>
    <w:rsid w:val="00C52877"/>
    <w:rsid w:val="00C52E75"/>
    <w:rsid w:val="00C5393D"/>
    <w:rsid w:val="00C5394E"/>
    <w:rsid w:val="00C541D6"/>
    <w:rsid w:val="00C54202"/>
    <w:rsid w:val="00C55CBF"/>
    <w:rsid w:val="00C5638A"/>
    <w:rsid w:val="00C56EB0"/>
    <w:rsid w:val="00C573AC"/>
    <w:rsid w:val="00C57D87"/>
    <w:rsid w:val="00C57F91"/>
    <w:rsid w:val="00C6009A"/>
    <w:rsid w:val="00C63D05"/>
    <w:rsid w:val="00C646B9"/>
    <w:rsid w:val="00C64B20"/>
    <w:rsid w:val="00C64C69"/>
    <w:rsid w:val="00C656EE"/>
    <w:rsid w:val="00C6617D"/>
    <w:rsid w:val="00C667E5"/>
    <w:rsid w:val="00C67012"/>
    <w:rsid w:val="00C67813"/>
    <w:rsid w:val="00C678FB"/>
    <w:rsid w:val="00C679CA"/>
    <w:rsid w:val="00C71869"/>
    <w:rsid w:val="00C72D2A"/>
    <w:rsid w:val="00C738D6"/>
    <w:rsid w:val="00C73A9F"/>
    <w:rsid w:val="00C73AD3"/>
    <w:rsid w:val="00C74302"/>
    <w:rsid w:val="00C749B2"/>
    <w:rsid w:val="00C75613"/>
    <w:rsid w:val="00C75F34"/>
    <w:rsid w:val="00C772FE"/>
    <w:rsid w:val="00C80683"/>
    <w:rsid w:val="00C80F02"/>
    <w:rsid w:val="00C811AD"/>
    <w:rsid w:val="00C816A5"/>
    <w:rsid w:val="00C8202F"/>
    <w:rsid w:val="00C8243E"/>
    <w:rsid w:val="00C8283A"/>
    <w:rsid w:val="00C8316A"/>
    <w:rsid w:val="00C83572"/>
    <w:rsid w:val="00C8384E"/>
    <w:rsid w:val="00C84260"/>
    <w:rsid w:val="00C84564"/>
    <w:rsid w:val="00C845FC"/>
    <w:rsid w:val="00C85175"/>
    <w:rsid w:val="00C85420"/>
    <w:rsid w:val="00C87D20"/>
    <w:rsid w:val="00C87D9B"/>
    <w:rsid w:val="00C90678"/>
    <w:rsid w:val="00C9086D"/>
    <w:rsid w:val="00C908B1"/>
    <w:rsid w:val="00C911EC"/>
    <w:rsid w:val="00C91524"/>
    <w:rsid w:val="00C92F10"/>
    <w:rsid w:val="00C9352A"/>
    <w:rsid w:val="00C95B98"/>
    <w:rsid w:val="00C961B2"/>
    <w:rsid w:val="00C97834"/>
    <w:rsid w:val="00C97F0F"/>
    <w:rsid w:val="00CA0047"/>
    <w:rsid w:val="00CA0317"/>
    <w:rsid w:val="00CA0664"/>
    <w:rsid w:val="00CA06F9"/>
    <w:rsid w:val="00CA1FD2"/>
    <w:rsid w:val="00CA345B"/>
    <w:rsid w:val="00CA37C7"/>
    <w:rsid w:val="00CA3A03"/>
    <w:rsid w:val="00CA3AAE"/>
    <w:rsid w:val="00CA3D87"/>
    <w:rsid w:val="00CA43DD"/>
    <w:rsid w:val="00CA4B91"/>
    <w:rsid w:val="00CA7032"/>
    <w:rsid w:val="00CA7350"/>
    <w:rsid w:val="00CA7D36"/>
    <w:rsid w:val="00CB03D0"/>
    <w:rsid w:val="00CB0712"/>
    <w:rsid w:val="00CB0E20"/>
    <w:rsid w:val="00CB1609"/>
    <w:rsid w:val="00CB1AF5"/>
    <w:rsid w:val="00CB1BBC"/>
    <w:rsid w:val="00CB2475"/>
    <w:rsid w:val="00CB2C2C"/>
    <w:rsid w:val="00CB4614"/>
    <w:rsid w:val="00CB493D"/>
    <w:rsid w:val="00CB49C8"/>
    <w:rsid w:val="00CB5401"/>
    <w:rsid w:val="00CB5FF6"/>
    <w:rsid w:val="00CB66EC"/>
    <w:rsid w:val="00CB78D1"/>
    <w:rsid w:val="00CC1832"/>
    <w:rsid w:val="00CC197E"/>
    <w:rsid w:val="00CC2337"/>
    <w:rsid w:val="00CC4655"/>
    <w:rsid w:val="00CC52DB"/>
    <w:rsid w:val="00CC5A28"/>
    <w:rsid w:val="00CC63BC"/>
    <w:rsid w:val="00CC695F"/>
    <w:rsid w:val="00CC7B25"/>
    <w:rsid w:val="00CD0677"/>
    <w:rsid w:val="00CD079B"/>
    <w:rsid w:val="00CD10E7"/>
    <w:rsid w:val="00CD1B13"/>
    <w:rsid w:val="00CD1C91"/>
    <w:rsid w:val="00CD241E"/>
    <w:rsid w:val="00CD292B"/>
    <w:rsid w:val="00CD2A1A"/>
    <w:rsid w:val="00CD49A1"/>
    <w:rsid w:val="00CD4A5F"/>
    <w:rsid w:val="00CD5982"/>
    <w:rsid w:val="00CD7020"/>
    <w:rsid w:val="00CD7632"/>
    <w:rsid w:val="00CD771C"/>
    <w:rsid w:val="00CD7F4D"/>
    <w:rsid w:val="00CE014B"/>
    <w:rsid w:val="00CE0159"/>
    <w:rsid w:val="00CE0CE6"/>
    <w:rsid w:val="00CE0F35"/>
    <w:rsid w:val="00CE1A25"/>
    <w:rsid w:val="00CE1D49"/>
    <w:rsid w:val="00CE2253"/>
    <w:rsid w:val="00CE2676"/>
    <w:rsid w:val="00CE3CA4"/>
    <w:rsid w:val="00CE45A7"/>
    <w:rsid w:val="00CE5716"/>
    <w:rsid w:val="00CE57F8"/>
    <w:rsid w:val="00CE5E05"/>
    <w:rsid w:val="00CE6BE9"/>
    <w:rsid w:val="00CE6E28"/>
    <w:rsid w:val="00CE6FA0"/>
    <w:rsid w:val="00CE7C17"/>
    <w:rsid w:val="00CE7C69"/>
    <w:rsid w:val="00CF01C1"/>
    <w:rsid w:val="00CF0B54"/>
    <w:rsid w:val="00CF0DA6"/>
    <w:rsid w:val="00CF1B83"/>
    <w:rsid w:val="00CF2B5D"/>
    <w:rsid w:val="00CF2C99"/>
    <w:rsid w:val="00CF2DA3"/>
    <w:rsid w:val="00CF41A2"/>
    <w:rsid w:val="00CF4728"/>
    <w:rsid w:val="00CF5001"/>
    <w:rsid w:val="00CF5170"/>
    <w:rsid w:val="00CF51C0"/>
    <w:rsid w:val="00CF56D7"/>
    <w:rsid w:val="00CF588C"/>
    <w:rsid w:val="00CF5DA1"/>
    <w:rsid w:val="00CF5E9F"/>
    <w:rsid w:val="00CF621C"/>
    <w:rsid w:val="00CF7877"/>
    <w:rsid w:val="00CF7A32"/>
    <w:rsid w:val="00CF7B02"/>
    <w:rsid w:val="00CF7E84"/>
    <w:rsid w:val="00D003C6"/>
    <w:rsid w:val="00D0129E"/>
    <w:rsid w:val="00D01B43"/>
    <w:rsid w:val="00D0210A"/>
    <w:rsid w:val="00D03190"/>
    <w:rsid w:val="00D03457"/>
    <w:rsid w:val="00D0395D"/>
    <w:rsid w:val="00D047D3"/>
    <w:rsid w:val="00D05AD8"/>
    <w:rsid w:val="00D0771E"/>
    <w:rsid w:val="00D112F3"/>
    <w:rsid w:val="00D11558"/>
    <w:rsid w:val="00D116A3"/>
    <w:rsid w:val="00D12023"/>
    <w:rsid w:val="00D124D3"/>
    <w:rsid w:val="00D1335D"/>
    <w:rsid w:val="00D137D8"/>
    <w:rsid w:val="00D13817"/>
    <w:rsid w:val="00D140B7"/>
    <w:rsid w:val="00D14D50"/>
    <w:rsid w:val="00D155B4"/>
    <w:rsid w:val="00D15B78"/>
    <w:rsid w:val="00D15C36"/>
    <w:rsid w:val="00D15CF8"/>
    <w:rsid w:val="00D16AB4"/>
    <w:rsid w:val="00D23092"/>
    <w:rsid w:val="00D25A99"/>
    <w:rsid w:val="00D2646E"/>
    <w:rsid w:val="00D26557"/>
    <w:rsid w:val="00D267A0"/>
    <w:rsid w:val="00D2787A"/>
    <w:rsid w:val="00D31283"/>
    <w:rsid w:val="00D31DB2"/>
    <w:rsid w:val="00D32E01"/>
    <w:rsid w:val="00D32E8A"/>
    <w:rsid w:val="00D331EF"/>
    <w:rsid w:val="00D33393"/>
    <w:rsid w:val="00D33ACA"/>
    <w:rsid w:val="00D348CF"/>
    <w:rsid w:val="00D34B67"/>
    <w:rsid w:val="00D34EE8"/>
    <w:rsid w:val="00D3552B"/>
    <w:rsid w:val="00D35EB6"/>
    <w:rsid w:val="00D36218"/>
    <w:rsid w:val="00D3744B"/>
    <w:rsid w:val="00D37CF3"/>
    <w:rsid w:val="00D40521"/>
    <w:rsid w:val="00D4071D"/>
    <w:rsid w:val="00D40750"/>
    <w:rsid w:val="00D417E1"/>
    <w:rsid w:val="00D42064"/>
    <w:rsid w:val="00D430DC"/>
    <w:rsid w:val="00D433F8"/>
    <w:rsid w:val="00D45106"/>
    <w:rsid w:val="00D462C1"/>
    <w:rsid w:val="00D4655B"/>
    <w:rsid w:val="00D46703"/>
    <w:rsid w:val="00D46766"/>
    <w:rsid w:val="00D4727F"/>
    <w:rsid w:val="00D47AF1"/>
    <w:rsid w:val="00D50906"/>
    <w:rsid w:val="00D513A3"/>
    <w:rsid w:val="00D52F58"/>
    <w:rsid w:val="00D52F95"/>
    <w:rsid w:val="00D53057"/>
    <w:rsid w:val="00D5452D"/>
    <w:rsid w:val="00D5503E"/>
    <w:rsid w:val="00D551FC"/>
    <w:rsid w:val="00D5557B"/>
    <w:rsid w:val="00D55775"/>
    <w:rsid w:val="00D561D6"/>
    <w:rsid w:val="00D565C4"/>
    <w:rsid w:val="00D567B0"/>
    <w:rsid w:val="00D6006B"/>
    <w:rsid w:val="00D60CAD"/>
    <w:rsid w:val="00D60EF1"/>
    <w:rsid w:val="00D60F13"/>
    <w:rsid w:val="00D610DE"/>
    <w:rsid w:val="00D614C8"/>
    <w:rsid w:val="00D614D1"/>
    <w:rsid w:val="00D621E0"/>
    <w:rsid w:val="00D622FA"/>
    <w:rsid w:val="00D62466"/>
    <w:rsid w:val="00D63541"/>
    <w:rsid w:val="00D63B3F"/>
    <w:rsid w:val="00D6400F"/>
    <w:rsid w:val="00D640C3"/>
    <w:rsid w:val="00D70A45"/>
    <w:rsid w:val="00D721BC"/>
    <w:rsid w:val="00D7229C"/>
    <w:rsid w:val="00D729B7"/>
    <w:rsid w:val="00D72E82"/>
    <w:rsid w:val="00D733BE"/>
    <w:rsid w:val="00D7381C"/>
    <w:rsid w:val="00D743CA"/>
    <w:rsid w:val="00D753BD"/>
    <w:rsid w:val="00D770D2"/>
    <w:rsid w:val="00D80C52"/>
    <w:rsid w:val="00D80D3B"/>
    <w:rsid w:val="00D81C8C"/>
    <w:rsid w:val="00D81F4D"/>
    <w:rsid w:val="00D82383"/>
    <w:rsid w:val="00D826D1"/>
    <w:rsid w:val="00D82A1C"/>
    <w:rsid w:val="00D82E82"/>
    <w:rsid w:val="00D8465B"/>
    <w:rsid w:val="00D85449"/>
    <w:rsid w:val="00D8561E"/>
    <w:rsid w:val="00D8583C"/>
    <w:rsid w:val="00D85DC4"/>
    <w:rsid w:val="00D86955"/>
    <w:rsid w:val="00D869B5"/>
    <w:rsid w:val="00D907BA"/>
    <w:rsid w:val="00D90B5C"/>
    <w:rsid w:val="00D9105B"/>
    <w:rsid w:val="00D91109"/>
    <w:rsid w:val="00D91CEA"/>
    <w:rsid w:val="00D91DEA"/>
    <w:rsid w:val="00D93A31"/>
    <w:rsid w:val="00D93AE2"/>
    <w:rsid w:val="00D9544E"/>
    <w:rsid w:val="00D958F6"/>
    <w:rsid w:val="00D9653D"/>
    <w:rsid w:val="00D96BA1"/>
    <w:rsid w:val="00D97D07"/>
    <w:rsid w:val="00DA09E1"/>
    <w:rsid w:val="00DA0A4E"/>
    <w:rsid w:val="00DA0CBD"/>
    <w:rsid w:val="00DA0ED9"/>
    <w:rsid w:val="00DA1D80"/>
    <w:rsid w:val="00DA22E8"/>
    <w:rsid w:val="00DA2403"/>
    <w:rsid w:val="00DA3087"/>
    <w:rsid w:val="00DA4D32"/>
    <w:rsid w:val="00DA508A"/>
    <w:rsid w:val="00DA6266"/>
    <w:rsid w:val="00DB1BFC"/>
    <w:rsid w:val="00DB1D7F"/>
    <w:rsid w:val="00DB2EDC"/>
    <w:rsid w:val="00DB4387"/>
    <w:rsid w:val="00DB45C7"/>
    <w:rsid w:val="00DB5379"/>
    <w:rsid w:val="00DB5F7E"/>
    <w:rsid w:val="00DB67FF"/>
    <w:rsid w:val="00DB7A25"/>
    <w:rsid w:val="00DB7C2C"/>
    <w:rsid w:val="00DC1C15"/>
    <w:rsid w:val="00DC2903"/>
    <w:rsid w:val="00DC301D"/>
    <w:rsid w:val="00DC44BA"/>
    <w:rsid w:val="00DC6597"/>
    <w:rsid w:val="00DC6A1D"/>
    <w:rsid w:val="00DC728A"/>
    <w:rsid w:val="00DC7C1D"/>
    <w:rsid w:val="00DC7C3C"/>
    <w:rsid w:val="00DD06C9"/>
    <w:rsid w:val="00DD0A6E"/>
    <w:rsid w:val="00DD1FE2"/>
    <w:rsid w:val="00DD21D3"/>
    <w:rsid w:val="00DD2CD8"/>
    <w:rsid w:val="00DD2D02"/>
    <w:rsid w:val="00DD345E"/>
    <w:rsid w:val="00DD34CD"/>
    <w:rsid w:val="00DD351E"/>
    <w:rsid w:val="00DD3DA9"/>
    <w:rsid w:val="00DD3E02"/>
    <w:rsid w:val="00DD447E"/>
    <w:rsid w:val="00DD4B5C"/>
    <w:rsid w:val="00DD6CD4"/>
    <w:rsid w:val="00DE18DB"/>
    <w:rsid w:val="00DE5911"/>
    <w:rsid w:val="00DE5DCD"/>
    <w:rsid w:val="00DE5FF9"/>
    <w:rsid w:val="00DE6A34"/>
    <w:rsid w:val="00DE7213"/>
    <w:rsid w:val="00DE7F37"/>
    <w:rsid w:val="00DE7F98"/>
    <w:rsid w:val="00DF0713"/>
    <w:rsid w:val="00DF138F"/>
    <w:rsid w:val="00DF4B3D"/>
    <w:rsid w:val="00DF581A"/>
    <w:rsid w:val="00DF5F3C"/>
    <w:rsid w:val="00DF65A0"/>
    <w:rsid w:val="00DF69CE"/>
    <w:rsid w:val="00DF6AED"/>
    <w:rsid w:val="00DF6E5A"/>
    <w:rsid w:val="00DF75FE"/>
    <w:rsid w:val="00E01502"/>
    <w:rsid w:val="00E0193F"/>
    <w:rsid w:val="00E02612"/>
    <w:rsid w:val="00E043CC"/>
    <w:rsid w:val="00E04469"/>
    <w:rsid w:val="00E04C8D"/>
    <w:rsid w:val="00E05914"/>
    <w:rsid w:val="00E065F7"/>
    <w:rsid w:val="00E06D87"/>
    <w:rsid w:val="00E0702B"/>
    <w:rsid w:val="00E071BC"/>
    <w:rsid w:val="00E07E61"/>
    <w:rsid w:val="00E1001A"/>
    <w:rsid w:val="00E10037"/>
    <w:rsid w:val="00E10603"/>
    <w:rsid w:val="00E10C86"/>
    <w:rsid w:val="00E10CA6"/>
    <w:rsid w:val="00E10DC5"/>
    <w:rsid w:val="00E10E23"/>
    <w:rsid w:val="00E11882"/>
    <w:rsid w:val="00E12EDC"/>
    <w:rsid w:val="00E1353E"/>
    <w:rsid w:val="00E13732"/>
    <w:rsid w:val="00E13866"/>
    <w:rsid w:val="00E140EA"/>
    <w:rsid w:val="00E1584F"/>
    <w:rsid w:val="00E15FF7"/>
    <w:rsid w:val="00E162A2"/>
    <w:rsid w:val="00E169BD"/>
    <w:rsid w:val="00E170C9"/>
    <w:rsid w:val="00E17843"/>
    <w:rsid w:val="00E17EE3"/>
    <w:rsid w:val="00E20074"/>
    <w:rsid w:val="00E20983"/>
    <w:rsid w:val="00E20B6B"/>
    <w:rsid w:val="00E21344"/>
    <w:rsid w:val="00E21469"/>
    <w:rsid w:val="00E21593"/>
    <w:rsid w:val="00E22B59"/>
    <w:rsid w:val="00E25070"/>
    <w:rsid w:val="00E27248"/>
    <w:rsid w:val="00E275C8"/>
    <w:rsid w:val="00E277A6"/>
    <w:rsid w:val="00E30B53"/>
    <w:rsid w:val="00E31446"/>
    <w:rsid w:val="00E32279"/>
    <w:rsid w:val="00E32FC9"/>
    <w:rsid w:val="00E33720"/>
    <w:rsid w:val="00E338F0"/>
    <w:rsid w:val="00E3456D"/>
    <w:rsid w:val="00E34BB4"/>
    <w:rsid w:val="00E34DDB"/>
    <w:rsid w:val="00E362C4"/>
    <w:rsid w:val="00E366AA"/>
    <w:rsid w:val="00E36AFD"/>
    <w:rsid w:val="00E36BCE"/>
    <w:rsid w:val="00E40192"/>
    <w:rsid w:val="00E42296"/>
    <w:rsid w:val="00E422CA"/>
    <w:rsid w:val="00E4288A"/>
    <w:rsid w:val="00E43573"/>
    <w:rsid w:val="00E44B3F"/>
    <w:rsid w:val="00E45CB4"/>
    <w:rsid w:val="00E46398"/>
    <w:rsid w:val="00E47153"/>
    <w:rsid w:val="00E471A9"/>
    <w:rsid w:val="00E478D0"/>
    <w:rsid w:val="00E50199"/>
    <w:rsid w:val="00E5103D"/>
    <w:rsid w:val="00E512EF"/>
    <w:rsid w:val="00E51A1B"/>
    <w:rsid w:val="00E51C5B"/>
    <w:rsid w:val="00E525D0"/>
    <w:rsid w:val="00E53C66"/>
    <w:rsid w:val="00E54A5B"/>
    <w:rsid w:val="00E54B9A"/>
    <w:rsid w:val="00E60E35"/>
    <w:rsid w:val="00E611B0"/>
    <w:rsid w:val="00E6204C"/>
    <w:rsid w:val="00E62B33"/>
    <w:rsid w:val="00E64B5B"/>
    <w:rsid w:val="00E64D55"/>
    <w:rsid w:val="00E64D63"/>
    <w:rsid w:val="00E64EF2"/>
    <w:rsid w:val="00E6594A"/>
    <w:rsid w:val="00E6667E"/>
    <w:rsid w:val="00E714BB"/>
    <w:rsid w:val="00E71774"/>
    <w:rsid w:val="00E75DB3"/>
    <w:rsid w:val="00E76D47"/>
    <w:rsid w:val="00E77891"/>
    <w:rsid w:val="00E80209"/>
    <w:rsid w:val="00E8123A"/>
    <w:rsid w:val="00E81626"/>
    <w:rsid w:val="00E82671"/>
    <w:rsid w:val="00E828E1"/>
    <w:rsid w:val="00E833D4"/>
    <w:rsid w:val="00E836F4"/>
    <w:rsid w:val="00E84D97"/>
    <w:rsid w:val="00E85228"/>
    <w:rsid w:val="00E853C4"/>
    <w:rsid w:val="00E86A04"/>
    <w:rsid w:val="00E877E6"/>
    <w:rsid w:val="00E87998"/>
    <w:rsid w:val="00E91042"/>
    <w:rsid w:val="00E9126A"/>
    <w:rsid w:val="00E91933"/>
    <w:rsid w:val="00E921CB"/>
    <w:rsid w:val="00E92294"/>
    <w:rsid w:val="00E92474"/>
    <w:rsid w:val="00E93B6B"/>
    <w:rsid w:val="00E948C6"/>
    <w:rsid w:val="00E94ECB"/>
    <w:rsid w:val="00E954DB"/>
    <w:rsid w:val="00E95C73"/>
    <w:rsid w:val="00E96963"/>
    <w:rsid w:val="00E97387"/>
    <w:rsid w:val="00E973EC"/>
    <w:rsid w:val="00E976D5"/>
    <w:rsid w:val="00EA01B2"/>
    <w:rsid w:val="00EA1371"/>
    <w:rsid w:val="00EA25B7"/>
    <w:rsid w:val="00EA3356"/>
    <w:rsid w:val="00EA39CA"/>
    <w:rsid w:val="00EA3B93"/>
    <w:rsid w:val="00EA5032"/>
    <w:rsid w:val="00EA5183"/>
    <w:rsid w:val="00EA594E"/>
    <w:rsid w:val="00EA65AF"/>
    <w:rsid w:val="00EA786E"/>
    <w:rsid w:val="00EB1EDD"/>
    <w:rsid w:val="00EB230A"/>
    <w:rsid w:val="00EB29FC"/>
    <w:rsid w:val="00EB4601"/>
    <w:rsid w:val="00EB4B06"/>
    <w:rsid w:val="00EB544E"/>
    <w:rsid w:val="00EB5D3C"/>
    <w:rsid w:val="00EB5D89"/>
    <w:rsid w:val="00EB5DE0"/>
    <w:rsid w:val="00EB5FDD"/>
    <w:rsid w:val="00EB6192"/>
    <w:rsid w:val="00EB6CE0"/>
    <w:rsid w:val="00EC1577"/>
    <w:rsid w:val="00EC1665"/>
    <w:rsid w:val="00EC1981"/>
    <w:rsid w:val="00EC2AA4"/>
    <w:rsid w:val="00EC4546"/>
    <w:rsid w:val="00EC514F"/>
    <w:rsid w:val="00EC534D"/>
    <w:rsid w:val="00EC55CB"/>
    <w:rsid w:val="00EC5DCD"/>
    <w:rsid w:val="00EC6751"/>
    <w:rsid w:val="00EC698B"/>
    <w:rsid w:val="00EC7BC4"/>
    <w:rsid w:val="00ED0179"/>
    <w:rsid w:val="00ED02A8"/>
    <w:rsid w:val="00ED16AF"/>
    <w:rsid w:val="00ED2103"/>
    <w:rsid w:val="00ED2CAA"/>
    <w:rsid w:val="00ED2E19"/>
    <w:rsid w:val="00ED314A"/>
    <w:rsid w:val="00ED39D1"/>
    <w:rsid w:val="00ED409E"/>
    <w:rsid w:val="00ED42A8"/>
    <w:rsid w:val="00ED45F7"/>
    <w:rsid w:val="00ED4E1E"/>
    <w:rsid w:val="00ED57A2"/>
    <w:rsid w:val="00ED5E15"/>
    <w:rsid w:val="00ED5E16"/>
    <w:rsid w:val="00ED61D2"/>
    <w:rsid w:val="00ED6984"/>
    <w:rsid w:val="00ED74EA"/>
    <w:rsid w:val="00EE2073"/>
    <w:rsid w:val="00EE2A94"/>
    <w:rsid w:val="00EE37DB"/>
    <w:rsid w:val="00EE3FCA"/>
    <w:rsid w:val="00EE4AB6"/>
    <w:rsid w:val="00EE4DBE"/>
    <w:rsid w:val="00EE5A28"/>
    <w:rsid w:val="00EE5B37"/>
    <w:rsid w:val="00EE6095"/>
    <w:rsid w:val="00EE64DC"/>
    <w:rsid w:val="00EE6A66"/>
    <w:rsid w:val="00EE7DCB"/>
    <w:rsid w:val="00EF07F3"/>
    <w:rsid w:val="00EF132A"/>
    <w:rsid w:val="00EF207F"/>
    <w:rsid w:val="00EF283B"/>
    <w:rsid w:val="00EF49F8"/>
    <w:rsid w:val="00EF683F"/>
    <w:rsid w:val="00EF6D36"/>
    <w:rsid w:val="00EF6ED1"/>
    <w:rsid w:val="00EF7D8D"/>
    <w:rsid w:val="00F0151E"/>
    <w:rsid w:val="00F01652"/>
    <w:rsid w:val="00F02440"/>
    <w:rsid w:val="00F026A9"/>
    <w:rsid w:val="00F0271F"/>
    <w:rsid w:val="00F0294D"/>
    <w:rsid w:val="00F02A45"/>
    <w:rsid w:val="00F02D8C"/>
    <w:rsid w:val="00F0335F"/>
    <w:rsid w:val="00F044AC"/>
    <w:rsid w:val="00F045D8"/>
    <w:rsid w:val="00F04A01"/>
    <w:rsid w:val="00F04FBF"/>
    <w:rsid w:val="00F052F2"/>
    <w:rsid w:val="00F07319"/>
    <w:rsid w:val="00F07BDF"/>
    <w:rsid w:val="00F118DB"/>
    <w:rsid w:val="00F11C7F"/>
    <w:rsid w:val="00F120F9"/>
    <w:rsid w:val="00F1222E"/>
    <w:rsid w:val="00F130A8"/>
    <w:rsid w:val="00F130BE"/>
    <w:rsid w:val="00F13772"/>
    <w:rsid w:val="00F146B8"/>
    <w:rsid w:val="00F150F2"/>
    <w:rsid w:val="00F153B6"/>
    <w:rsid w:val="00F15917"/>
    <w:rsid w:val="00F15A8A"/>
    <w:rsid w:val="00F15B5E"/>
    <w:rsid w:val="00F16833"/>
    <w:rsid w:val="00F20825"/>
    <w:rsid w:val="00F21293"/>
    <w:rsid w:val="00F21494"/>
    <w:rsid w:val="00F21758"/>
    <w:rsid w:val="00F22EC3"/>
    <w:rsid w:val="00F2422D"/>
    <w:rsid w:val="00F2623F"/>
    <w:rsid w:val="00F26DA8"/>
    <w:rsid w:val="00F27514"/>
    <w:rsid w:val="00F27F15"/>
    <w:rsid w:val="00F30556"/>
    <w:rsid w:val="00F30C05"/>
    <w:rsid w:val="00F30EED"/>
    <w:rsid w:val="00F32AEF"/>
    <w:rsid w:val="00F32C9F"/>
    <w:rsid w:val="00F32DB6"/>
    <w:rsid w:val="00F33146"/>
    <w:rsid w:val="00F33AA6"/>
    <w:rsid w:val="00F34FB7"/>
    <w:rsid w:val="00F358F0"/>
    <w:rsid w:val="00F3590B"/>
    <w:rsid w:val="00F35A1E"/>
    <w:rsid w:val="00F35C78"/>
    <w:rsid w:val="00F36051"/>
    <w:rsid w:val="00F36176"/>
    <w:rsid w:val="00F36E40"/>
    <w:rsid w:val="00F37ED3"/>
    <w:rsid w:val="00F40BBF"/>
    <w:rsid w:val="00F40DCE"/>
    <w:rsid w:val="00F41607"/>
    <w:rsid w:val="00F41EAC"/>
    <w:rsid w:val="00F42393"/>
    <w:rsid w:val="00F42B1B"/>
    <w:rsid w:val="00F440DC"/>
    <w:rsid w:val="00F4422D"/>
    <w:rsid w:val="00F442B3"/>
    <w:rsid w:val="00F447B4"/>
    <w:rsid w:val="00F4512A"/>
    <w:rsid w:val="00F454B0"/>
    <w:rsid w:val="00F45CDF"/>
    <w:rsid w:val="00F46810"/>
    <w:rsid w:val="00F470A5"/>
    <w:rsid w:val="00F504F1"/>
    <w:rsid w:val="00F508FD"/>
    <w:rsid w:val="00F509C8"/>
    <w:rsid w:val="00F51734"/>
    <w:rsid w:val="00F51AB8"/>
    <w:rsid w:val="00F526D5"/>
    <w:rsid w:val="00F547CD"/>
    <w:rsid w:val="00F54A52"/>
    <w:rsid w:val="00F5581B"/>
    <w:rsid w:val="00F55AC3"/>
    <w:rsid w:val="00F55DDE"/>
    <w:rsid w:val="00F55F3E"/>
    <w:rsid w:val="00F56702"/>
    <w:rsid w:val="00F5671B"/>
    <w:rsid w:val="00F56836"/>
    <w:rsid w:val="00F56D7C"/>
    <w:rsid w:val="00F56E0D"/>
    <w:rsid w:val="00F607E5"/>
    <w:rsid w:val="00F609CF"/>
    <w:rsid w:val="00F61882"/>
    <w:rsid w:val="00F618C6"/>
    <w:rsid w:val="00F6227F"/>
    <w:rsid w:val="00F63857"/>
    <w:rsid w:val="00F63B9C"/>
    <w:rsid w:val="00F646B7"/>
    <w:rsid w:val="00F6494A"/>
    <w:rsid w:val="00F65586"/>
    <w:rsid w:val="00F6784B"/>
    <w:rsid w:val="00F70761"/>
    <w:rsid w:val="00F707C8"/>
    <w:rsid w:val="00F718A0"/>
    <w:rsid w:val="00F71BEB"/>
    <w:rsid w:val="00F728AB"/>
    <w:rsid w:val="00F73A5F"/>
    <w:rsid w:val="00F73FEF"/>
    <w:rsid w:val="00F7412F"/>
    <w:rsid w:val="00F766E6"/>
    <w:rsid w:val="00F80253"/>
    <w:rsid w:val="00F80D79"/>
    <w:rsid w:val="00F80EE4"/>
    <w:rsid w:val="00F8150A"/>
    <w:rsid w:val="00F81A04"/>
    <w:rsid w:val="00F8299B"/>
    <w:rsid w:val="00F83361"/>
    <w:rsid w:val="00F84017"/>
    <w:rsid w:val="00F84C0C"/>
    <w:rsid w:val="00F84D23"/>
    <w:rsid w:val="00F8662A"/>
    <w:rsid w:val="00F8732F"/>
    <w:rsid w:val="00F90219"/>
    <w:rsid w:val="00F90F2C"/>
    <w:rsid w:val="00F9123B"/>
    <w:rsid w:val="00F91786"/>
    <w:rsid w:val="00F91F42"/>
    <w:rsid w:val="00F9241B"/>
    <w:rsid w:val="00F927FE"/>
    <w:rsid w:val="00F92826"/>
    <w:rsid w:val="00F92912"/>
    <w:rsid w:val="00F9496F"/>
    <w:rsid w:val="00F95000"/>
    <w:rsid w:val="00F95DC4"/>
    <w:rsid w:val="00F9647F"/>
    <w:rsid w:val="00F96DD8"/>
    <w:rsid w:val="00F96F03"/>
    <w:rsid w:val="00F9789D"/>
    <w:rsid w:val="00FA0EDE"/>
    <w:rsid w:val="00FA0F71"/>
    <w:rsid w:val="00FA1246"/>
    <w:rsid w:val="00FA1862"/>
    <w:rsid w:val="00FA1DE7"/>
    <w:rsid w:val="00FA1F6C"/>
    <w:rsid w:val="00FA230B"/>
    <w:rsid w:val="00FA2B00"/>
    <w:rsid w:val="00FA2B15"/>
    <w:rsid w:val="00FA3610"/>
    <w:rsid w:val="00FA36C2"/>
    <w:rsid w:val="00FA3758"/>
    <w:rsid w:val="00FA406C"/>
    <w:rsid w:val="00FA4530"/>
    <w:rsid w:val="00FA4D8D"/>
    <w:rsid w:val="00FA547B"/>
    <w:rsid w:val="00FA758A"/>
    <w:rsid w:val="00FA7CB3"/>
    <w:rsid w:val="00FB02BB"/>
    <w:rsid w:val="00FB10B3"/>
    <w:rsid w:val="00FB198B"/>
    <w:rsid w:val="00FB1B24"/>
    <w:rsid w:val="00FB1C19"/>
    <w:rsid w:val="00FB21D5"/>
    <w:rsid w:val="00FB271A"/>
    <w:rsid w:val="00FB2850"/>
    <w:rsid w:val="00FB2A9E"/>
    <w:rsid w:val="00FB3262"/>
    <w:rsid w:val="00FB37D4"/>
    <w:rsid w:val="00FB4BB0"/>
    <w:rsid w:val="00FB547C"/>
    <w:rsid w:val="00FB7190"/>
    <w:rsid w:val="00FB7673"/>
    <w:rsid w:val="00FC1300"/>
    <w:rsid w:val="00FC1C75"/>
    <w:rsid w:val="00FC2953"/>
    <w:rsid w:val="00FC35CE"/>
    <w:rsid w:val="00FC3C99"/>
    <w:rsid w:val="00FC4A01"/>
    <w:rsid w:val="00FC57F7"/>
    <w:rsid w:val="00FC74C2"/>
    <w:rsid w:val="00FC770C"/>
    <w:rsid w:val="00FC7778"/>
    <w:rsid w:val="00FC7856"/>
    <w:rsid w:val="00FC7E9B"/>
    <w:rsid w:val="00FD03F1"/>
    <w:rsid w:val="00FD0A33"/>
    <w:rsid w:val="00FD19D0"/>
    <w:rsid w:val="00FD332D"/>
    <w:rsid w:val="00FD35A5"/>
    <w:rsid w:val="00FD3CD3"/>
    <w:rsid w:val="00FD40CC"/>
    <w:rsid w:val="00FD4E74"/>
    <w:rsid w:val="00FD56C0"/>
    <w:rsid w:val="00FD5B7C"/>
    <w:rsid w:val="00FD5B98"/>
    <w:rsid w:val="00FD5C81"/>
    <w:rsid w:val="00FD5DC4"/>
    <w:rsid w:val="00FD62C7"/>
    <w:rsid w:val="00FD6473"/>
    <w:rsid w:val="00FD66D4"/>
    <w:rsid w:val="00FD6D99"/>
    <w:rsid w:val="00FE03DE"/>
    <w:rsid w:val="00FE08F7"/>
    <w:rsid w:val="00FE1F23"/>
    <w:rsid w:val="00FE3812"/>
    <w:rsid w:val="00FE615A"/>
    <w:rsid w:val="00FE656F"/>
    <w:rsid w:val="00FE7120"/>
    <w:rsid w:val="00FE77F3"/>
    <w:rsid w:val="00FF14E0"/>
    <w:rsid w:val="00FF1574"/>
    <w:rsid w:val="00FF3733"/>
    <w:rsid w:val="00FF4260"/>
    <w:rsid w:val="00FF4B38"/>
    <w:rsid w:val="00FF5E4D"/>
    <w:rsid w:val="00FF60A6"/>
    <w:rsid w:val="00FF64DD"/>
    <w:rsid w:val="00FF68B2"/>
    <w:rsid w:val="00FF7606"/>
    <w:rsid w:val="00FF77A2"/>
    <w:rsid w:val="00FF7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27688"/>
    <w:pPr>
      <w:widowControl w:val="0"/>
      <w:jc w:val="both"/>
    </w:pPr>
    <w:rPr>
      <w:kern w:val="2"/>
      <w:sz w:val="21"/>
      <w:szCs w:val="24"/>
    </w:rPr>
  </w:style>
  <w:style w:type="paragraph" w:styleId="1">
    <w:name w:val="heading 1"/>
    <w:basedOn w:val="a0"/>
    <w:next w:val="a0"/>
    <w:qFormat/>
    <w:rsid w:val="00827688"/>
    <w:pPr>
      <w:keepNext/>
      <w:keepLines/>
      <w:spacing w:before="340" w:after="330" w:line="578" w:lineRule="auto"/>
      <w:outlineLvl w:val="0"/>
    </w:pPr>
    <w:rPr>
      <w:b/>
      <w:bCs/>
      <w:kern w:val="44"/>
      <w:sz w:val="44"/>
      <w:szCs w:val="44"/>
    </w:rPr>
  </w:style>
  <w:style w:type="paragraph" w:styleId="2">
    <w:name w:val="heading 2"/>
    <w:basedOn w:val="a0"/>
    <w:next w:val="a0"/>
    <w:qFormat/>
    <w:rsid w:val="00827688"/>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semiHidden/>
    <w:unhideWhenUsed/>
    <w:qFormat/>
    <w:rsid w:val="004A04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827688"/>
    <w:pPr>
      <w:tabs>
        <w:tab w:val="center" w:pos="4153"/>
        <w:tab w:val="right" w:pos="8306"/>
      </w:tabs>
      <w:snapToGrid w:val="0"/>
      <w:jc w:val="center"/>
    </w:pPr>
    <w:rPr>
      <w:sz w:val="18"/>
      <w:szCs w:val="18"/>
    </w:rPr>
  </w:style>
  <w:style w:type="paragraph" w:styleId="a5">
    <w:name w:val="footer"/>
    <w:basedOn w:val="a0"/>
    <w:link w:val="Char0"/>
    <w:uiPriority w:val="99"/>
    <w:rsid w:val="00827688"/>
    <w:pPr>
      <w:tabs>
        <w:tab w:val="center" w:pos="4153"/>
        <w:tab w:val="right" w:pos="8306"/>
      </w:tabs>
      <w:snapToGrid w:val="0"/>
      <w:jc w:val="left"/>
    </w:pPr>
    <w:rPr>
      <w:sz w:val="18"/>
      <w:szCs w:val="18"/>
    </w:rPr>
  </w:style>
  <w:style w:type="paragraph" w:customStyle="1" w:styleId="a6">
    <w:name w:val="内正文"/>
    <w:basedOn w:val="a0"/>
    <w:rsid w:val="00827688"/>
    <w:pPr>
      <w:spacing w:after="156" w:line="360" w:lineRule="exact"/>
      <w:ind w:left="2835"/>
    </w:pPr>
    <w:rPr>
      <w:rFonts w:ascii="宋体" w:hAnsi="宋体"/>
      <w:szCs w:val="21"/>
    </w:rPr>
  </w:style>
  <w:style w:type="character" w:styleId="a7">
    <w:name w:val="page number"/>
    <w:basedOn w:val="a1"/>
    <w:rsid w:val="00827688"/>
  </w:style>
  <w:style w:type="paragraph" w:styleId="a8">
    <w:name w:val="Plain Text"/>
    <w:basedOn w:val="a0"/>
    <w:link w:val="Char1"/>
    <w:uiPriority w:val="99"/>
    <w:unhideWhenUsed/>
    <w:rsid w:val="00827688"/>
    <w:rPr>
      <w:rFonts w:ascii="宋体" w:hAnsi="Courier New" w:cs="Courier New"/>
      <w:szCs w:val="21"/>
    </w:rPr>
  </w:style>
  <w:style w:type="character" w:customStyle="1" w:styleId="Char1">
    <w:name w:val="纯文本 Char"/>
    <w:basedOn w:val="a1"/>
    <w:link w:val="a8"/>
    <w:uiPriority w:val="99"/>
    <w:rsid w:val="00827688"/>
    <w:rPr>
      <w:rFonts w:ascii="宋体" w:eastAsia="宋体" w:hAnsi="Courier New" w:cs="Courier New"/>
      <w:kern w:val="2"/>
      <w:sz w:val="21"/>
      <w:szCs w:val="21"/>
      <w:lang w:val="en-US" w:eastAsia="zh-CN" w:bidi="ar-SA"/>
    </w:rPr>
  </w:style>
  <w:style w:type="table" w:customStyle="1" w:styleId="10">
    <w:name w:val="浅色底纹1"/>
    <w:basedOn w:val="a2"/>
    <w:uiPriority w:val="60"/>
    <w:rsid w:val="00AF7CB1"/>
    <w:rPr>
      <w:rFonts w:ascii="Calibri" w:hAnsi="Calibri"/>
      <w:color w:val="000000"/>
    </w:rPr>
    <w:tblPr>
      <w:tblStyleRowBandSize w:val="1"/>
      <w:tblStyleColBandSize w:val="1"/>
      <w:tblInd w:w="0" w:type="dxa"/>
      <w:tblBorders>
        <w:top w:val="single" w:sz="8" w:space="0" w:color="FF0000"/>
        <w:bottom w:val="single" w:sz="8" w:space="0" w:color="FF0000"/>
      </w:tblBorders>
      <w:tblCellMar>
        <w:top w:w="0" w:type="dxa"/>
        <w:left w:w="108" w:type="dxa"/>
        <w:bottom w:w="0" w:type="dxa"/>
        <w:right w:w="108" w:type="dxa"/>
      </w:tblCellMar>
    </w:tblPr>
    <w:tblStylePr w:type="firstRow">
      <w:pPr>
        <w:spacing w:before="0" w:after="0" w:line="240" w:lineRule="auto"/>
      </w:pPr>
      <w:rPr>
        <w:b w:val="0"/>
        <w:bCs/>
      </w:rPr>
      <w:tblPr/>
      <w:tcPr>
        <w:tcBorders>
          <w:top w:val="single" w:sz="8" w:space="0" w:color="FF0000"/>
          <w:left w:val="nil"/>
          <w:bottom w:val="single" w:sz="8" w:space="0" w:color="FF0000"/>
          <w:right w:val="nil"/>
          <w:insideH w:val="nil"/>
          <w:insideV w:val="nil"/>
        </w:tcBorders>
      </w:tcPr>
    </w:tblStylePr>
    <w:tblStylePr w:type="lastRow">
      <w:pPr>
        <w:spacing w:before="0" w:after="0" w:line="240" w:lineRule="auto"/>
      </w:pPr>
      <w:rPr>
        <w:b w:val="0"/>
        <w:bCs/>
      </w:rPr>
      <w:tblPr/>
      <w:tcPr>
        <w:tcBorders>
          <w:top w:val="single" w:sz="8" w:space="0" w:color="FF0000"/>
          <w:left w:val="nil"/>
          <w:bottom w:val="single" w:sz="8" w:space="0" w:color="FF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
    <w:name w:val="页眉 Char"/>
    <w:basedOn w:val="a1"/>
    <w:link w:val="a4"/>
    <w:uiPriority w:val="99"/>
    <w:rsid w:val="00AF7CB1"/>
    <w:rPr>
      <w:kern w:val="2"/>
      <w:sz w:val="18"/>
      <w:szCs w:val="18"/>
    </w:rPr>
  </w:style>
  <w:style w:type="character" w:customStyle="1" w:styleId="Char0">
    <w:name w:val="页脚 Char"/>
    <w:basedOn w:val="a1"/>
    <w:link w:val="a5"/>
    <w:uiPriority w:val="99"/>
    <w:rsid w:val="00AF7CB1"/>
    <w:rPr>
      <w:kern w:val="2"/>
      <w:sz w:val="18"/>
      <w:szCs w:val="18"/>
    </w:rPr>
  </w:style>
  <w:style w:type="paragraph" w:styleId="a9">
    <w:name w:val="Balloon Text"/>
    <w:basedOn w:val="a0"/>
    <w:link w:val="Char2"/>
    <w:uiPriority w:val="99"/>
    <w:unhideWhenUsed/>
    <w:rsid w:val="00AF7CB1"/>
    <w:rPr>
      <w:rFonts w:ascii="Calibri" w:hAnsi="Calibri"/>
      <w:sz w:val="18"/>
      <w:szCs w:val="18"/>
    </w:rPr>
  </w:style>
  <w:style w:type="character" w:customStyle="1" w:styleId="Char2">
    <w:name w:val="批注框文本 Char"/>
    <w:basedOn w:val="a1"/>
    <w:link w:val="a9"/>
    <w:uiPriority w:val="99"/>
    <w:rsid w:val="00AF7CB1"/>
    <w:rPr>
      <w:rFonts w:ascii="Calibri" w:hAnsi="Calibri"/>
      <w:kern w:val="2"/>
      <w:sz w:val="18"/>
      <w:szCs w:val="18"/>
    </w:rPr>
  </w:style>
  <w:style w:type="paragraph" w:customStyle="1" w:styleId="ParaChar">
    <w:name w:val="默认段落字体 Para Char"/>
    <w:basedOn w:val="a0"/>
    <w:autoRedefine/>
    <w:rsid w:val="004E62DA"/>
    <w:pPr>
      <w:numPr>
        <w:numId w:val="3"/>
      </w:numPr>
    </w:pPr>
    <w:rPr>
      <w:sz w:val="24"/>
    </w:rPr>
  </w:style>
  <w:style w:type="character" w:customStyle="1" w:styleId="apple-style-span">
    <w:name w:val="apple-style-span"/>
    <w:basedOn w:val="a1"/>
    <w:rsid w:val="00EE4DBE"/>
  </w:style>
  <w:style w:type="paragraph" w:styleId="aa">
    <w:name w:val="footnote text"/>
    <w:basedOn w:val="a0"/>
    <w:semiHidden/>
    <w:rsid w:val="00621E8A"/>
    <w:pPr>
      <w:snapToGrid w:val="0"/>
      <w:jc w:val="left"/>
    </w:pPr>
    <w:rPr>
      <w:sz w:val="18"/>
      <w:szCs w:val="18"/>
    </w:rPr>
  </w:style>
  <w:style w:type="character" w:styleId="ab">
    <w:name w:val="footnote reference"/>
    <w:basedOn w:val="a1"/>
    <w:semiHidden/>
    <w:rsid w:val="00621E8A"/>
    <w:rPr>
      <w:vertAlign w:val="superscript"/>
    </w:rPr>
  </w:style>
  <w:style w:type="paragraph" w:customStyle="1" w:styleId="a">
    <w:name w:val="封面正文"/>
    <w:basedOn w:val="a0"/>
    <w:rsid w:val="00C8243E"/>
    <w:pPr>
      <w:numPr>
        <w:numId w:val="5"/>
      </w:numPr>
      <w:spacing w:afterLines="50" w:line="300" w:lineRule="exact"/>
    </w:pPr>
    <w:rPr>
      <w:rFonts w:ascii="Arial" w:eastAsia="黑体" w:hAnsi="Arial"/>
      <w:b/>
      <w:sz w:val="18"/>
      <w:szCs w:val="21"/>
    </w:rPr>
  </w:style>
  <w:style w:type="character" w:styleId="ac">
    <w:name w:val="Hyperlink"/>
    <w:basedOn w:val="a1"/>
    <w:rsid w:val="00693B26"/>
    <w:rPr>
      <w:color w:val="0000FF"/>
      <w:u w:val="single"/>
    </w:rPr>
  </w:style>
  <w:style w:type="paragraph" w:styleId="ad">
    <w:name w:val="Date"/>
    <w:basedOn w:val="a0"/>
    <w:next w:val="a0"/>
    <w:link w:val="Char3"/>
    <w:rsid w:val="00F07319"/>
    <w:pPr>
      <w:ind w:leftChars="2500" w:left="100"/>
    </w:pPr>
  </w:style>
  <w:style w:type="character" w:customStyle="1" w:styleId="Char3">
    <w:name w:val="日期 Char"/>
    <w:basedOn w:val="a1"/>
    <w:link w:val="ad"/>
    <w:rsid w:val="00F07319"/>
    <w:rPr>
      <w:kern w:val="2"/>
      <w:sz w:val="21"/>
      <w:szCs w:val="24"/>
    </w:rPr>
  </w:style>
  <w:style w:type="character" w:customStyle="1" w:styleId="apple-converted-space">
    <w:name w:val="apple-converted-space"/>
    <w:basedOn w:val="a1"/>
    <w:rsid w:val="00910D98"/>
  </w:style>
  <w:style w:type="character" w:styleId="ae">
    <w:name w:val="Strong"/>
    <w:basedOn w:val="a1"/>
    <w:uiPriority w:val="22"/>
    <w:qFormat/>
    <w:rsid w:val="00634137"/>
    <w:rPr>
      <w:b/>
      <w:bCs/>
    </w:rPr>
  </w:style>
  <w:style w:type="character" w:styleId="af">
    <w:name w:val="Emphasis"/>
    <w:basedOn w:val="a1"/>
    <w:uiPriority w:val="20"/>
    <w:qFormat/>
    <w:rsid w:val="00AD3FFC"/>
    <w:rPr>
      <w:i/>
      <w:iCs/>
    </w:rPr>
  </w:style>
  <w:style w:type="character" w:customStyle="1" w:styleId="3Char">
    <w:name w:val="标题 3 Char"/>
    <w:basedOn w:val="a1"/>
    <w:link w:val="3"/>
    <w:semiHidden/>
    <w:rsid w:val="004A04AC"/>
    <w:rPr>
      <w:b/>
      <w:bCs/>
      <w:kern w:val="2"/>
      <w:sz w:val="32"/>
      <w:szCs w:val="32"/>
    </w:rPr>
  </w:style>
  <w:style w:type="character" w:customStyle="1" w:styleId="fsheadcode1">
    <w:name w:val="fs_head_code1"/>
    <w:basedOn w:val="a1"/>
    <w:rsid w:val="003F3857"/>
  </w:style>
  <w:style w:type="paragraph" w:styleId="af0">
    <w:name w:val="List Paragraph"/>
    <w:basedOn w:val="a0"/>
    <w:uiPriority w:val="34"/>
    <w:qFormat/>
    <w:rsid w:val="008462A9"/>
    <w:pPr>
      <w:ind w:firstLineChars="200" w:firstLine="420"/>
    </w:pPr>
  </w:style>
</w:styles>
</file>

<file path=word/webSettings.xml><?xml version="1.0" encoding="utf-8"?>
<w:webSettings xmlns:r="http://schemas.openxmlformats.org/officeDocument/2006/relationships" xmlns:w="http://schemas.openxmlformats.org/wordprocessingml/2006/main">
  <w:divs>
    <w:div w:id="13894849">
      <w:bodyDiv w:val="1"/>
      <w:marLeft w:val="0"/>
      <w:marRight w:val="0"/>
      <w:marTop w:val="0"/>
      <w:marBottom w:val="0"/>
      <w:divBdr>
        <w:top w:val="none" w:sz="0" w:space="0" w:color="auto"/>
        <w:left w:val="none" w:sz="0" w:space="0" w:color="auto"/>
        <w:bottom w:val="none" w:sz="0" w:space="0" w:color="auto"/>
        <w:right w:val="none" w:sz="0" w:space="0" w:color="auto"/>
      </w:divBdr>
    </w:div>
    <w:div w:id="16274955">
      <w:bodyDiv w:val="1"/>
      <w:marLeft w:val="0"/>
      <w:marRight w:val="0"/>
      <w:marTop w:val="0"/>
      <w:marBottom w:val="0"/>
      <w:divBdr>
        <w:top w:val="none" w:sz="0" w:space="0" w:color="auto"/>
        <w:left w:val="none" w:sz="0" w:space="0" w:color="auto"/>
        <w:bottom w:val="none" w:sz="0" w:space="0" w:color="auto"/>
        <w:right w:val="none" w:sz="0" w:space="0" w:color="auto"/>
      </w:divBdr>
    </w:div>
    <w:div w:id="23411701">
      <w:bodyDiv w:val="1"/>
      <w:marLeft w:val="0"/>
      <w:marRight w:val="0"/>
      <w:marTop w:val="0"/>
      <w:marBottom w:val="0"/>
      <w:divBdr>
        <w:top w:val="none" w:sz="0" w:space="0" w:color="auto"/>
        <w:left w:val="none" w:sz="0" w:space="0" w:color="auto"/>
        <w:bottom w:val="none" w:sz="0" w:space="0" w:color="auto"/>
        <w:right w:val="none" w:sz="0" w:space="0" w:color="auto"/>
      </w:divBdr>
    </w:div>
    <w:div w:id="25525489">
      <w:bodyDiv w:val="1"/>
      <w:marLeft w:val="0"/>
      <w:marRight w:val="0"/>
      <w:marTop w:val="0"/>
      <w:marBottom w:val="0"/>
      <w:divBdr>
        <w:top w:val="none" w:sz="0" w:space="0" w:color="auto"/>
        <w:left w:val="none" w:sz="0" w:space="0" w:color="auto"/>
        <w:bottom w:val="none" w:sz="0" w:space="0" w:color="auto"/>
        <w:right w:val="none" w:sz="0" w:space="0" w:color="auto"/>
      </w:divBdr>
    </w:div>
    <w:div w:id="70586549">
      <w:bodyDiv w:val="1"/>
      <w:marLeft w:val="0"/>
      <w:marRight w:val="0"/>
      <w:marTop w:val="0"/>
      <w:marBottom w:val="0"/>
      <w:divBdr>
        <w:top w:val="none" w:sz="0" w:space="0" w:color="auto"/>
        <w:left w:val="none" w:sz="0" w:space="0" w:color="auto"/>
        <w:bottom w:val="none" w:sz="0" w:space="0" w:color="auto"/>
        <w:right w:val="none" w:sz="0" w:space="0" w:color="auto"/>
      </w:divBdr>
    </w:div>
    <w:div w:id="78066704">
      <w:bodyDiv w:val="1"/>
      <w:marLeft w:val="0"/>
      <w:marRight w:val="0"/>
      <w:marTop w:val="0"/>
      <w:marBottom w:val="0"/>
      <w:divBdr>
        <w:top w:val="none" w:sz="0" w:space="0" w:color="auto"/>
        <w:left w:val="none" w:sz="0" w:space="0" w:color="auto"/>
        <w:bottom w:val="none" w:sz="0" w:space="0" w:color="auto"/>
        <w:right w:val="none" w:sz="0" w:space="0" w:color="auto"/>
      </w:divBdr>
      <w:divsChild>
        <w:div w:id="1650983346">
          <w:marLeft w:val="0"/>
          <w:marRight w:val="0"/>
          <w:marTop w:val="0"/>
          <w:marBottom w:val="0"/>
          <w:divBdr>
            <w:top w:val="none" w:sz="0" w:space="0" w:color="auto"/>
            <w:left w:val="none" w:sz="0" w:space="0" w:color="auto"/>
            <w:bottom w:val="none" w:sz="0" w:space="0" w:color="auto"/>
            <w:right w:val="none" w:sz="0" w:space="0" w:color="auto"/>
          </w:divBdr>
        </w:div>
      </w:divsChild>
    </w:div>
    <w:div w:id="121115112">
      <w:bodyDiv w:val="1"/>
      <w:marLeft w:val="0"/>
      <w:marRight w:val="0"/>
      <w:marTop w:val="0"/>
      <w:marBottom w:val="0"/>
      <w:divBdr>
        <w:top w:val="none" w:sz="0" w:space="0" w:color="auto"/>
        <w:left w:val="none" w:sz="0" w:space="0" w:color="auto"/>
        <w:bottom w:val="none" w:sz="0" w:space="0" w:color="auto"/>
        <w:right w:val="none" w:sz="0" w:space="0" w:color="auto"/>
      </w:divBdr>
    </w:div>
    <w:div w:id="145586903">
      <w:bodyDiv w:val="1"/>
      <w:marLeft w:val="0"/>
      <w:marRight w:val="0"/>
      <w:marTop w:val="0"/>
      <w:marBottom w:val="0"/>
      <w:divBdr>
        <w:top w:val="none" w:sz="0" w:space="0" w:color="auto"/>
        <w:left w:val="none" w:sz="0" w:space="0" w:color="auto"/>
        <w:bottom w:val="none" w:sz="0" w:space="0" w:color="auto"/>
        <w:right w:val="none" w:sz="0" w:space="0" w:color="auto"/>
      </w:divBdr>
    </w:div>
    <w:div w:id="147330219">
      <w:bodyDiv w:val="1"/>
      <w:marLeft w:val="0"/>
      <w:marRight w:val="0"/>
      <w:marTop w:val="0"/>
      <w:marBottom w:val="0"/>
      <w:divBdr>
        <w:top w:val="none" w:sz="0" w:space="0" w:color="auto"/>
        <w:left w:val="none" w:sz="0" w:space="0" w:color="auto"/>
        <w:bottom w:val="none" w:sz="0" w:space="0" w:color="auto"/>
        <w:right w:val="none" w:sz="0" w:space="0" w:color="auto"/>
      </w:divBdr>
    </w:div>
    <w:div w:id="163591332">
      <w:bodyDiv w:val="1"/>
      <w:marLeft w:val="0"/>
      <w:marRight w:val="0"/>
      <w:marTop w:val="0"/>
      <w:marBottom w:val="0"/>
      <w:divBdr>
        <w:top w:val="none" w:sz="0" w:space="0" w:color="auto"/>
        <w:left w:val="none" w:sz="0" w:space="0" w:color="auto"/>
        <w:bottom w:val="none" w:sz="0" w:space="0" w:color="auto"/>
        <w:right w:val="none" w:sz="0" w:space="0" w:color="auto"/>
      </w:divBdr>
    </w:div>
    <w:div w:id="168259160">
      <w:bodyDiv w:val="1"/>
      <w:marLeft w:val="0"/>
      <w:marRight w:val="0"/>
      <w:marTop w:val="0"/>
      <w:marBottom w:val="0"/>
      <w:divBdr>
        <w:top w:val="none" w:sz="0" w:space="0" w:color="auto"/>
        <w:left w:val="none" w:sz="0" w:space="0" w:color="auto"/>
        <w:bottom w:val="none" w:sz="0" w:space="0" w:color="auto"/>
        <w:right w:val="none" w:sz="0" w:space="0" w:color="auto"/>
      </w:divBdr>
    </w:div>
    <w:div w:id="171725926">
      <w:bodyDiv w:val="1"/>
      <w:marLeft w:val="0"/>
      <w:marRight w:val="0"/>
      <w:marTop w:val="0"/>
      <w:marBottom w:val="0"/>
      <w:divBdr>
        <w:top w:val="none" w:sz="0" w:space="0" w:color="auto"/>
        <w:left w:val="none" w:sz="0" w:space="0" w:color="auto"/>
        <w:bottom w:val="none" w:sz="0" w:space="0" w:color="auto"/>
        <w:right w:val="none" w:sz="0" w:space="0" w:color="auto"/>
      </w:divBdr>
    </w:div>
    <w:div w:id="219488527">
      <w:bodyDiv w:val="1"/>
      <w:marLeft w:val="0"/>
      <w:marRight w:val="0"/>
      <w:marTop w:val="0"/>
      <w:marBottom w:val="0"/>
      <w:divBdr>
        <w:top w:val="none" w:sz="0" w:space="0" w:color="auto"/>
        <w:left w:val="none" w:sz="0" w:space="0" w:color="auto"/>
        <w:bottom w:val="none" w:sz="0" w:space="0" w:color="auto"/>
        <w:right w:val="none" w:sz="0" w:space="0" w:color="auto"/>
      </w:divBdr>
    </w:div>
    <w:div w:id="237251031">
      <w:bodyDiv w:val="1"/>
      <w:marLeft w:val="0"/>
      <w:marRight w:val="0"/>
      <w:marTop w:val="0"/>
      <w:marBottom w:val="0"/>
      <w:divBdr>
        <w:top w:val="none" w:sz="0" w:space="0" w:color="auto"/>
        <w:left w:val="none" w:sz="0" w:space="0" w:color="auto"/>
        <w:bottom w:val="none" w:sz="0" w:space="0" w:color="auto"/>
        <w:right w:val="none" w:sz="0" w:space="0" w:color="auto"/>
      </w:divBdr>
    </w:div>
    <w:div w:id="238297977">
      <w:bodyDiv w:val="1"/>
      <w:marLeft w:val="0"/>
      <w:marRight w:val="0"/>
      <w:marTop w:val="0"/>
      <w:marBottom w:val="0"/>
      <w:divBdr>
        <w:top w:val="none" w:sz="0" w:space="0" w:color="auto"/>
        <w:left w:val="none" w:sz="0" w:space="0" w:color="auto"/>
        <w:bottom w:val="none" w:sz="0" w:space="0" w:color="auto"/>
        <w:right w:val="none" w:sz="0" w:space="0" w:color="auto"/>
      </w:divBdr>
    </w:div>
    <w:div w:id="245186467">
      <w:bodyDiv w:val="1"/>
      <w:marLeft w:val="0"/>
      <w:marRight w:val="0"/>
      <w:marTop w:val="0"/>
      <w:marBottom w:val="0"/>
      <w:divBdr>
        <w:top w:val="none" w:sz="0" w:space="0" w:color="auto"/>
        <w:left w:val="none" w:sz="0" w:space="0" w:color="auto"/>
        <w:bottom w:val="none" w:sz="0" w:space="0" w:color="auto"/>
        <w:right w:val="none" w:sz="0" w:space="0" w:color="auto"/>
      </w:divBdr>
    </w:div>
    <w:div w:id="280916154">
      <w:bodyDiv w:val="1"/>
      <w:marLeft w:val="0"/>
      <w:marRight w:val="0"/>
      <w:marTop w:val="0"/>
      <w:marBottom w:val="0"/>
      <w:divBdr>
        <w:top w:val="none" w:sz="0" w:space="0" w:color="auto"/>
        <w:left w:val="none" w:sz="0" w:space="0" w:color="auto"/>
        <w:bottom w:val="none" w:sz="0" w:space="0" w:color="auto"/>
        <w:right w:val="none" w:sz="0" w:space="0" w:color="auto"/>
      </w:divBdr>
    </w:div>
    <w:div w:id="328486541">
      <w:bodyDiv w:val="1"/>
      <w:marLeft w:val="0"/>
      <w:marRight w:val="0"/>
      <w:marTop w:val="0"/>
      <w:marBottom w:val="0"/>
      <w:divBdr>
        <w:top w:val="none" w:sz="0" w:space="0" w:color="auto"/>
        <w:left w:val="none" w:sz="0" w:space="0" w:color="auto"/>
        <w:bottom w:val="none" w:sz="0" w:space="0" w:color="auto"/>
        <w:right w:val="none" w:sz="0" w:space="0" w:color="auto"/>
      </w:divBdr>
    </w:div>
    <w:div w:id="374744327">
      <w:bodyDiv w:val="1"/>
      <w:marLeft w:val="0"/>
      <w:marRight w:val="0"/>
      <w:marTop w:val="0"/>
      <w:marBottom w:val="0"/>
      <w:divBdr>
        <w:top w:val="none" w:sz="0" w:space="0" w:color="auto"/>
        <w:left w:val="none" w:sz="0" w:space="0" w:color="auto"/>
        <w:bottom w:val="none" w:sz="0" w:space="0" w:color="auto"/>
        <w:right w:val="none" w:sz="0" w:space="0" w:color="auto"/>
      </w:divBdr>
    </w:div>
    <w:div w:id="378744110">
      <w:bodyDiv w:val="1"/>
      <w:marLeft w:val="0"/>
      <w:marRight w:val="0"/>
      <w:marTop w:val="0"/>
      <w:marBottom w:val="0"/>
      <w:divBdr>
        <w:top w:val="none" w:sz="0" w:space="0" w:color="auto"/>
        <w:left w:val="none" w:sz="0" w:space="0" w:color="auto"/>
        <w:bottom w:val="none" w:sz="0" w:space="0" w:color="auto"/>
        <w:right w:val="none" w:sz="0" w:space="0" w:color="auto"/>
      </w:divBdr>
    </w:div>
    <w:div w:id="411046400">
      <w:bodyDiv w:val="1"/>
      <w:marLeft w:val="0"/>
      <w:marRight w:val="0"/>
      <w:marTop w:val="0"/>
      <w:marBottom w:val="0"/>
      <w:divBdr>
        <w:top w:val="none" w:sz="0" w:space="0" w:color="auto"/>
        <w:left w:val="none" w:sz="0" w:space="0" w:color="auto"/>
        <w:bottom w:val="none" w:sz="0" w:space="0" w:color="auto"/>
        <w:right w:val="none" w:sz="0" w:space="0" w:color="auto"/>
      </w:divBdr>
    </w:div>
    <w:div w:id="440419783">
      <w:bodyDiv w:val="1"/>
      <w:marLeft w:val="0"/>
      <w:marRight w:val="0"/>
      <w:marTop w:val="0"/>
      <w:marBottom w:val="0"/>
      <w:divBdr>
        <w:top w:val="none" w:sz="0" w:space="0" w:color="auto"/>
        <w:left w:val="none" w:sz="0" w:space="0" w:color="auto"/>
        <w:bottom w:val="none" w:sz="0" w:space="0" w:color="auto"/>
        <w:right w:val="none" w:sz="0" w:space="0" w:color="auto"/>
      </w:divBdr>
    </w:div>
    <w:div w:id="463086346">
      <w:bodyDiv w:val="1"/>
      <w:marLeft w:val="0"/>
      <w:marRight w:val="0"/>
      <w:marTop w:val="0"/>
      <w:marBottom w:val="0"/>
      <w:divBdr>
        <w:top w:val="none" w:sz="0" w:space="0" w:color="auto"/>
        <w:left w:val="none" w:sz="0" w:space="0" w:color="auto"/>
        <w:bottom w:val="none" w:sz="0" w:space="0" w:color="auto"/>
        <w:right w:val="none" w:sz="0" w:space="0" w:color="auto"/>
      </w:divBdr>
    </w:div>
    <w:div w:id="468010503">
      <w:bodyDiv w:val="1"/>
      <w:marLeft w:val="0"/>
      <w:marRight w:val="0"/>
      <w:marTop w:val="0"/>
      <w:marBottom w:val="0"/>
      <w:divBdr>
        <w:top w:val="none" w:sz="0" w:space="0" w:color="auto"/>
        <w:left w:val="none" w:sz="0" w:space="0" w:color="auto"/>
        <w:bottom w:val="none" w:sz="0" w:space="0" w:color="auto"/>
        <w:right w:val="none" w:sz="0" w:space="0" w:color="auto"/>
      </w:divBdr>
    </w:div>
    <w:div w:id="479998479">
      <w:bodyDiv w:val="1"/>
      <w:marLeft w:val="0"/>
      <w:marRight w:val="0"/>
      <w:marTop w:val="0"/>
      <w:marBottom w:val="0"/>
      <w:divBdr>
        <w:top w:val="none" w:sz="0" w:space="0" w:color="auto"/>
        <w:left w:val="none" w:sz="0" w:space="0" w:color="auto"/>
        <w:bottom w:val="none" w:sz="0" w:space="0" w:color="auto"/>
        <w:right w:val="none" w:sz="0" w:space="0" w:color="auto"/>
      </w:divBdr>
    </w:div>
    <w:div w:id="493035639">
      <w:bodyDiv w:val="1"/>
      <w:marLeft w:val="0"/>
      <w:marRight w:val="0"/>
      <w:marTop w:val="0"/>
      <w:marBottom w:val="0"/>
      <w:divBdr>
        <w:top w:val="none" w:sz="0" w:space="0" w:color="auto"/>
        <w:left w:val="none" w:sz="0" w:space="0" w:color="auto"/>
        <w:bottom w:val="none" w:sz="0" w:space="0" w:color="auto"/>
        <w:right w:val="none" w:sz="0" w:space="0" w:color="auto"/>
      </w:divBdr>
    </w:div>
    <w:div w:id="518350410">
      <w:bodyDiv w:val="1"/>
      <w:marLeft w:val="0"/>
      <w:marRight w:val="0"/>
      <w:marTop w:val="0"/>
      <w:marBottom w:val="0"/>
      <w:divBdr>
        <w:top w:val="none" w:sz="0" w:space="0" w:color="auto"/>
        <w:left w:val="none" w:sz="0" w:space="0" w:color="auto"/>
        <w:bottom w:val="none" w:sz="0" w:space="0" w:color="auto"/>
        <w:right w:val="none" w:sz="0" w:space="0" w:color="auto"/>
      </w:divBdr>
    </w:div>
    <w:div w:id="524904679">
      <w:bodyDiv w:val="1"/>
      <w:marLeft w:val="0"/>
      <w:marRight w:val="0"/>
      <w:marTop w:val="0"/>
      <w:marBottom w:val="0"/>
      <w:divBdr>
        <w:top w:val="none" w:sz="0" w:space="0" w:color="auto"/>
        <w:left w:val="none" w:sz="0" w:space="0" w:color="auto"/>
        <w:bottom w:val="none" w:sz="0" w:space="0" w:color="auto"/>
        <w:right w:val="none" w:sz="0" w:space="0" w:color="auto"/>
      </w:divBdr>
    </w:div>
    <w:div w:id="535511357">
      <w:bodyDiv w:val="1"/>
      <w:marLeft w:val="0"/>
      <w:marRight w:val="0"/>
      <w:marTop w:val="0"/>
      <w:marBottom w:val="0"/>
      <w:divBdr>
        <w:top w:val="none" w:sz="0" w:space="0" w:color="auto"/>
        <w:left w:val="none" w:sz="0" w:space="0" w:color="auto"/>
        <w:bottom w:val="none" w:sz="0" w:space="0" w:color="auto"/>
        <w:right w:val="none" w:sz="0" w:space="0" w:color="auto"/>
      </w:divBdr>
    </w:div>
    <w:div w:id="550190915">
      <w:bodyDiv w:val="1"/>
      <w:marLeft w:val="0"/>
      <w:marRight w:val="0"/>
      <w:marTop w:val="0"/>
      <w:marBottom w:val="0"/>
      <w:divBdr>
        <w:top w:val="none" w:sz="0" w:space="0" w:color="auto"/>
        <w:left w:val="none" w:sz="0" w:space="0" w:color="auto"/>
        <w:bottom w:val="none" w:sz="0" w:space="0" w:color="auto"/>
        <w:right w:val="none" w:sz="0" w:space="0" w:color="auto"/>
      </w:divBdr>
    </w:div>
    <w:div w:id="572859132">
      <w:bodyDiv w:val="1"/>
      <w:marLeft w:val="0"/>
      <w:marRight w:val="0"/>
      <w:marTop w:val="0"/>
      <w:marBottom w:val="0"/>
      <w:divBdr>
        <w:top w:val="none" w:sz="0" w:space="0" w:color="auto"/>
        <w:left w:val="none" w:sz="0" w:space="0" w:color="auto"/>
        <w:bottom w:val="none" w:sz="0" w:space="0" w:color="auto"/>
        <w:right w:val="none" w:sz="0" w:space="0" w:color="auto"/>
      </w:divBdr>
    </w:div>
    <w:div w:id="574438259">
      <w:bodyDiv w:val="1"/>
      <w:marLeft w:val="0"/>
      <w:marRight w:val="0"/>
      <w:marTop w:val="0"/>
      <w:marBottom w:val="0"/>
      <w:divBdr>
        <w:top w:val="none" w:sz="0" w:space="0" w:color="auto"/>
        <w:left w:val="none" w:sz="0" w:space="0" w:color="auto"/>
        <w:bottom w:val="none" w:sz="0" w:space="0" w:color="auto"/>
        <w:right w:val="none" w:sz="0" w:space="0" w:color="auto"/>
      </w:divBdr>
    </w:div>
    <w:div w:id="585379890">
      <w:bodyDiv w:val="1"/>
      <w:marLeft w:val="0"/>
      <w:marRight w:val="0"/>
      <w:marTop w:val="0"/>
      <w:marBottom w:val="0"/>
      <w:divBdr>
        <w:top w:val="none" w:sz="0" w:space="0" w:color="auto"/>
        <w:left w:val="none" w:sz="0" w:space="0" w:color="auto"/>
        <w:bottom w:val="none" w:sz="0" w:space="0" w:color="auto"/>
        <w:right w:val="none" w:sz="0" w:space="0" w:color="auto"/>
      </w:divBdr>
    </w:div>
    <w:div w:id="603997062">
      <w:bodyDiv w:val="1"/>
      <w:marLeft w:val="0"/>
      <w:marRight w:val="0"/>
      <w:marTop w:val="0"/>
      <w:marBottom w:val="0"/>
      <w:divBdr>
        <w:top w:val="none" w:sz="0" w:space="0" w:color="auto"/>
        <w:left w:val="none" w:sz="0" w:space="0" w:color="auto"/>
        <w:bottom w:val="none" w:sz="0" w:space="0" w:color="auto"/>
        <w:right w:val="none" w:sz="0" w:space="0" w:color="auto"/>
      </w:divBdr>
    </w:div>
    <w:div w:id="638345314">
      <w:bodyDiv w:val="1"/>
      <w:marLeft w:val="0"/>
      <w:marRight w:val="0"/>
      <w:marTop w:val="0"/>
      <w:marBottom w:val="0"/>
      <w:divBdr>
        <w:top w:val="none" w:sz="0" w:space="0" w:color="auto"/>
        <w:left w:val="none" w:sz="0" w:space="0" w:color="auto"/>
        <w:bottom w:val="none" w:sz="0" w:space="0" w:color="auto"/>
        <w:right w:val="none" w:sz="0" w:space="0" w:color="auto"/>
      </w:divBdr>
    </w:div>
    <w:div w:id="667708193">
      <w:bodyDiv w:val="1"/>
      <w:marLeft w:val="0"/>
      <w:marRight w:val="0"/>
      <w:marTop w:val="0"/>
      <w:marBottom w:val="0"/>
      <w:divBdr>
        <w:top w:val="none" w:sz="0" w:space="0" w:color="auto"/>
        <w:left w:val="none" w:sz="0" w:space="0" w:color="auto"/>
        <w:bottom w:val="none" w:sz="0" w:space="0" w:color="auto"/>
        <w:right w:val="none" w:sz="0" w:space="0" w:color="auto"/>
      </w:divBdr>
    </w:div>
    <w:div w:id="698429567">
      <w:bodyDiv w:val="1"/>
      <w:marLeft w:val="0"/>
      <w:marRight w:val="0"/>
      <w:marTop w:val="0"/>
      <w:marBottom w:val="0"/>
      <w:divBdr>
        <w:top w:val="none" w:sz="0" w:space="0" w:color="auto"/>
        <w:left w:val="none" w:sz="0" w:space="0" w:color="auto"/>
        <w:bottom w:val="none" w:sz="0" w:space="0" w:color="auto"/>
        <w:right w:val="none" w:sz="0" w:space="0" w:color="auto"/>
      </w:divBdr>
    </w:div>
    <w:div w:id="704670132">
      <w:bodyDiv w:val="1"/>
      <w:marLeft w:val="0"/>
      <w:marRight w:val="0"/>
      <w:marTop w:val="0"/>
      <w:marBottom w:val="0"/>
      <w:divBdr>
        <w:top w:val="none" w:sz="0" w:space="0" w:color="auto"/>
        <w:left w:val="none" w:sz="0" w:space="0" w:color="auto"/>
        <w:bottom w:val="none" w:sz="0" w:space="0" w:color="auto"/>
        <w:right w:val="none" w:sz="0" w:space="0" w:color="auto"/>
      </w:divBdr>
    </w:div>
    <w:div w:id="808400455">
      <w:bodyDiv w:val="1"/>
      <w:marLeft w:val="0"/>
      <w:marRight w:val="0"/>
      <w:marTop w:val="0"/>
      <w:marBottom w:val="0"/>
      <w:divBdr>
        <w:top w:val="none" w:sz="0" w:space="0" w:color="auto"/>
        <w:left w:val="none" w:sz="0" w:space="0" w:color="auto"/>
        <w:bottom w:val="none" w:sz="0" w:space="0" w:color="auto"/>
        <w:right w:val="none" w:sz="0" w:space="0" w:color="auto"/>
      </w:divBdr>
    </w:div>
    <w:div w:id="848061686">
      <w:bodyDiv w:val="1"/>
      <w:marLeft w:val="0"/>
      <w:marRight w:val="0"/>
      <w:marTop w:val="0"/>
      <w:marBottom w:val="0"/>
      <w:divBdr>
        <w:top w:val="none" w:sz="0" w:space="0" w:color="auto"/>
        <w:left w:val="none" w:sz="0" w:space="0" w:color="auto"/>
        <w:bottom w:val="none" w:sz="0" w:space="0" w:color="auto"/>
        <w:right w:val="none" w:sz="0" w:space="0" w:color="auto"/>
      </w:divBdr>
    </w:div>
    <w:div w:id="892891338">
      <w:bodyDiv w:val="1"/>
      <w:marLeft w:val="0"/>
      <w:marRight w:val="0"/>
      <w:marTop w:val="0"/>
      <w:marBottom w:val="0"/>
      <w:divBdr>
        <w:top w:val="none" w:sz="0" w:space="0" w:color="auto"/>
        <w:left w:val="none" w:sz="0" w:space="0" w:color="auto"/>
        <w:bottom w:val="none" w:sz="0" w:space="0" w:color="auto"/>
        <w:right w:val="none" w:sz="0" w:space="0" w:color="auto"/>
      </w:divBdr>
    </w:div>
    <w:div w:id="903837507">
      <w:bodyDiv w:val="1"/>
      <w:marLeft w:val="0"/>
      <w:marRight w:val="0"/>
      <w:marTop w:val="0"/>
      <w:marBottom w:val="0"/>
      <w:divBdr>
        <w:top w:val="none" w:sz="0" w:space="0" w:color="auto"/>
        <w:left w:val="none" w:sz="0" w:space="0" w:color="auto"/>
        <w:bottom w:val="none" w:sz="0" w:space="0" w:color="auto"/>
        <w:right w:val="none" w:sz="0" w:space="0" w:color="auto"/>
      </w:divBdr>
    </w:div>
    <w:div w:id="917787237">
      <w:bodyDiv w:val="1"/>
      <w:marLeft w:val="0"/>
      <w:marRight w:val="0"/>
      <w:marTop w:val="0"/>
      <w:marBottom w:val="0"/>
      <w:divBdr>
        <w:top w:val="none" w:sz="0" w:space="0" w:color="auto"/>
        <w:left w:val="none" w:sz="0" w:space="0" w:color="auto"/>
        <w:bottom w:val="none" w:sz="0" w:space="0" w:color="auto"/>
        <w:right w:val="none" w:sz="0" w:space="0" w:color="auto"/>
      </w:divBdr>
    </w:div>
    <w:div w:id="959260481">
      <w:bodyDiv w:val="1"/>
      <w:marLeft w:val="0"/>
      <w:marRight w:val="0"/>
      <w:marTop w:val="0"/>
      <w:marBottom w:val="0"/>
      <w:divBdr>
        <w:top w:val="none" w:sz="0" w:space="0" w:color="auto"/>
        <w:left w:val="none" w:sz="0" w:space="0" w:color="auto"/>
        <w:bottom w:val="none" w:sz="0" w:space="0" w:color="auto"/>
        <w:right w:val="none" w:sz="0" w:space="0" w:color="auto"/>
      </w:divBdr>
    </w:div>
    <w:div w:id="967052388">
      <w:bodyDiv w:val="1"/>
      <w:marLeft w:val="0"/>
      <w:marRight w:val="0"/>
      <w:marTop w:val="0"/>
      <w:marBottom w:val="0"/>
      <w:divBdr>
        <w:top w:val="none" w:sz="0" w:space="0" w:color="auto"/>
        <w:left w:val="none" w:sz="0" w:space="0" w:color="auto"/>
        <w:bottom w:val="none" w:sz="0" w:space="0" w:color="auto"/>
        <w:right w:val="none" w:sz="0" w:space="0" w:color="auto"/>
      </w:divBdr>
    </w:div>
    <w:div w:id="993992065">
      <w:bodyDiv w:val="1"/>
      <w:marLeft w:val="0"/>
      <w:marRight w:val="0"/>
      <w:marTop w:val="0"/>
      <w:marBottom w:val="0"/>
      <w:divBdr>
        <w:top w:val="none" w:sz="0" w:space="0" w:color="auto"/>
        <w:left w:val="none" w:sz="0" w:space="0" w:color="auto"/>
        <w:bottom w:val="none" w:sz="0" w:space="0" w:color="auto"/>
        <w:right w:val="none" w:sz="0" w:space="0" w:color="auto"/>
      </w:divBdr>
    </w:div>
    <w:div w:id="1016274208">
      <w:bodyDiv w:val="1"/>
      <w:marLeft w:val="0"/>
      <w:marRight w:val="0"/>
      <w:marTop w:val="0"/>
      <w:marBottom w:val="0"/>
      <w:divBdr>
        <w:top w:val="none" w:sz="0" w:space="0" w:color="auto"/>
        <w:left w:val="none" w:sz="0" w:space="0" w:color="auto"/>
        <w:bottom w:val="none" w:sz="0" w:space="0" w:color="auto"/>
        <w:right w:val="none" w:sz="0" w:space="0" w:color="auto"/>
      </w:divBdr>
    </w:div>
    <w:div w:id="1021325216">
      <w:bodyDiv w:val="1"/>
      <w:marLeft w:val="0"/>
      <w:marRight w:val="0"/>
      <w:marTop w:val="0"/>
      <w:marBottom w:val="0"/>
      <w:divBdr>
        <w:top w:val="none" w:sz="0" w:space="0" w:color="auto"/>
        <w:left w:val="none" w:sz="0" w:space="0" w:color="auto"/>
        <w:bottom w:val="none" w:sz="0" w:space="0" w:color="auto"/>
        <w:right w:val="none" w:sz="0" w:space="0" w:color="auto"/>
      </w:divBdr>
    </w:div>
    <w:div w:id="1046176771">
      <w:bodyDiv w:val="1"/>
      <w:marLeft w:val="0"/>
      <w:marRight w:val="0"/>
      <w:marTop w:val="0"/>
      <w:marBottom w:val="0"/>
      <w:divBdr>
        <w:top w:val="none" w:sz="0" w:space="0" w:color="auto"/>
        <w:left w:val="none" w:sz="0" w:space="0" w:color="auto"/>
        <w:bottom w:val="none" w:sz="0" w:space="0" w:color="auto"/>
        <w:right w:val="none" w:sz="0" w:space="0" w:color="auto"/>
      </w:divBdr>
    </w:div>
    <w:div w:id="1046225173">
      <w:bodyDiv w:val="1"/>
      <w:marLeft w:val="0"/>
      <w:marRight w:val="0"/>
      <w:marTop w:val="0"/>
      <w:marBottom w:val="0"/>
      <w:divBdr>
        <w:top w:val="none" w:sz="0" w:space="0" w:color="auto"/>
        <w:left w:val="none" w:sz="0" w:space="0" w:color="auto"/>
        <w:bottom w:val="none" w:sz="0" w:space="0" w:color="auto"/>
        <w:right w:val="none" w:sz="0" w:space="0" w:color="auto"/>
      </w:divBdr>
    </w:div>
    <w:div w:id="1054351425">
      <w:bodyDiv w:val="1"/>
      <w:marLeft w:val="0"/>
      <w:marRight w:val="0"/>
      <w:marTop w:val="0"/>
      <w:marBottom w:val="0"/>
      <w:divBdr>
        <w:top w:val="none" w:sz="0" w:space="0" w:color="auto"/>
        <w:left w:val="none" w:sz="0" w:space="0" w:color="auto"/>
        <w:bottom w:val="none" w:sz="0" w:space="0" w:color="auto"/>
        <w:right w:val="none" w:sz="0" w:space="0" w:color="auto"/>
      </w:divBdr>
    </w:div>
    <w:div w:id="1075663429">
      <w:bodyDiv w:val="1"/>
      <w:marLeft w:val="0"/>
      <w:marRight w:val="0"/>
      <w:marTop w:val="0"/>
      <w:marBottom w:val="0"/>
      <w:divBdr>
        <w:top w:val="none" w:sz="0" w:space="0" w:color="auto"/>
        <w:left w:val="none" w:sz="0" w:space="0" w:color="auto"/>
        <w:bottom w:val="none" w:sz="0" w:space="0" w:color="auto"/>
        <w:right w:val="none" w:sz="0" w:space="0" w:color="auto"/>
      </w:divBdr>
    </w:div>
    <w:div w:id="1087775832">
      <w:bodyDiv w:val="1"/>
      <w:marLeft w:val="0"/>
      <w:marRight w:val="0"/>
      <w:marTop w:val="0"/>
      <w:marBottom w:val="0"/>
      <w:divBdr>
        <w:top w:val="none" w:sz="0" w:space="0" w:color="auto"/>
        <w:left w:val="none" w:sz="0" w:space="0" w:color="auto"/>
        <w:bottom w:val="none" w:sz="0" w:space="0" w:color="auto"/>
        <w:right w:val="none" w:sz="0" w:space="0" w:color="auto"/>
      </w:divBdr>
    </w:div>
    <w:div w:id="1089929350">
      <w:bodyDiv w:val="1"/>
      <w:marLeft w:val="0"/>
      <w:marRight w:val="0"/>
      <w:marTop w:val="0"/>
      <w:marBottom w:val="0"/>
      <w:divBdr>
        <w:top w:val="none" w:sz="0" w:space="0" w:color="auto"/>
        <w:left w:val="none" w:sz="0" w:space="0" w:color="auto"/>
        <w:bottom w:val="none" w:sz="0" w:space="0" w:color="auto"/>
        <w:right w:val="none" w:sz="0" w:space="0" w:color="auto"/>
      </w:divBdr>
    </w:div>
    <w:div w:id="1098987257">
      <w:bodyDiv w:val="1"/>
      <w:marLeft w:val="0"/>
      <w:marRight w:val="0"/>
      <w:marTop w:val="0"/>
      <w:marBottom w:val="0"/>
      <w:divBdr>
        <w:top w:val="none" w:sz="0" w:space="0" w:color="auto"/>
        <w:left w:val="none" w:sz="0" w:space="0" w:color="auto"/>
        <w:bottom w:val="none" w:sz="0" w:space="0" w:color="auto"/>
        <w:right w:val="none" w:sz="0" w:space="0" w:color="auto"/>
      </w:divBdr>
    </w:div>
    <w:div w:id="1119109490">
      <w:bodyDiv w:val="1"/>
      <w:marLeft w:val="0"/>
      <w:marRight w:val="0"/>
      <w:marTop w:val="0"/>
      <w:marBottom w:val="0"/>
      <w:divBdr>
        <w:top w:val="none" w:sz="0" w:space="0" w:color="auto"/>
        <w:left w:val="none" w:sz="0" w:space="0" w:color="auto"/>
        <w:bottom w:val="none" w:sz="0" w:space="0" w:color="auto"/>
        <w:right w:val="none" w:sz="0" w:space="0" w:color="auto"/>
      </w:divBdr>
    </w:div>
    <w:div w:id="1150826043">
      <w:bodyDiv w:val="1"/>
      <w:marLeft w:val="0"/>
      <w:marRight w:val="0"/>
      <w:marTop w:val="0"/>
      <w:marBottom w:val="0"/>
      <w:divBdr>
        <w:top w:val="none" w:sz="0" w:space="0" w:color="auto"/>
        <w:left w:val="none" w:sz="0" w:space="0" w:color="auto"/>
        <w:bottom w:val="none" w:sz="0" w:space="0" w:color="auto"/>
        <w:right w:val="none" w:sz="0" w:space="0" w:color="auto"/>
      </w:divBdr>
    </w:div>
    <w:div w:id="1153066658">
      <w:bodyDiv w:val="1"/>
      <w:marLeft w:val="0"/>
      <w:marRight w:val="0"/>
      <w:marTop w:val="0"/>
      <w:marBottom w:val="0"/>
      <w:divBdr>
        <w:top w:val="none" w:sz="0" w:space="0" w:color="auto"/>
        <w:left w:val="none" w:sz="0" w:space="0" w:color="auto"/>
        <w:bottom w:val="none" w:sz="0" w:space="0" w:color="auto"/>
        <w:right w:val="none" w:sz="0" w:space="0" w:color="auto"/>
      </w:divBdr>
    </w:div>
    <w:div w:id="1160195237">
      <w:bodyDiv w:val="1"/>
      <w:marLeft w:val="0"/>
      <w:marRight w:val="0"/>
      <w:marTop w:val="0"/>
      <w:marBottom w:val="0"/>
      <w:divBdr>
        <w:top w:val="none" w:sz="0" w:space="0" w:color="auto"/>
        <w:left w:val="none" w:sz="0" w:space="0" w:color="auto"/>
        <w:bottom w:val="none" w:sz="0" w:space="0" w:color="auto"/>
        <w:right w:val="none" w:sz="0" w:space="0" w:color="auto"/>
      </w:divBdr>
    </w:div>
    <w:div w:id="1202941925">
      <w:bodyDiv w:val="1"/>
      <w:marLeft w:val="0"/>
      <w:marRight w:val="0"/>
      <w:marTop w:val="0"/>
      <w:marBottom w:val="0"/>
      <w:divBdr>
        <w:top w:val="none" w:sz="0" w:space="0" w:color="auto"/>
        <w:left w:val="none" w:sz="0" w:space="0" w:color="auto"/>
        <w:bottom w:val="none" w:sz="0" w:space="0" w:color="auto"/>
        <w:right w:val="none" w:sz="0" w:space="0" w:color="auto"/>
      </w:divBdr>
    </w:div>
    <w:div w:id="1218586229">
      <w:bodyDiv w:val="1"/>
      <w:marLeft w:val="0"/>
      <w:marRight w:val="0"/>
      <w:marTop w:val="0"/>
      <w:marBottom w:val="0"/>
      <w:divBdr>
        <w:top w:val="none" w:sz="0" w:space="0" w:color="auto"/>
        <w:left w:val="none" w:sz="0" w:space="0" w:color="auto"/>
        <w:bottom w:val="none" w:sz="0" w:space="0" w:color="auto"/>
        <w:right w:val="none" w:sz="0" w:space="0" w:color="auto"/>
      </w:divBdr>
    </w:div>
    <w:div w:id="1249540012">
      <w:bodyDiv w:val="1"/>
      <w:marLeft w:val="0"/>
      <w:marRight w:val="0"/>
      <w:marTop w:val="0"/>
      <w:marBottom w:val="0"/>
      <w:divBdr>
        <w:top w:val="none" w:sz="0" w:space="0" w:color="auto"/>
        <w:left w:val="none" w:sz="0" w:space="0" w:color="auto"/>
        <w:bottom w:val="none" w:sz="0" w:space="0" w:color="auto"/>
        <w:right w:val="none" w:sz="0" w:space="0" w:color="auto"/>
      </w:divBdr>
    </w:div>
    <w:div w:id="1268926960">
      <w:bodyDiv w:val="1"/>
      <w:marLeft w:val="0"/>
      <w:marRight w:val="0"/>
      <w:marTop w:val="0"/>
      <w:marBottom w:val="0"/>
      <w:divBdr>
        <w:top w:val="none" w:sz="0" w:space="0" w:color="auto"/>
        <w:left w:val="none" w:sz="0" w:space="0" w:color="auto"/>
        <w:bottom w:val="none" w:sz="0" w:space="0" w:color="auto"/>
        <w:right w:val="none" w:sz="0" w:space="0" w:color="auto"/>
      </w:divBdr>
    </w:div>
    <w:div w:id="1296065323">
      <w:bodyDiv w:val="1"/>
      <w:marLeft w:val="0"/>
      <w:marRight w:val="0"/>
      <w:marTop w:val="0"/>
      <w:marBottom w:val="0"/>
      <w:divBdr>
        <w:top w:val="none" w:sz="0" w:space="0" w:color="auto"/>
        <w:left w:val="none" w:sz="0" w:space="0" w:color="auto"/>
        <w:bottom w:val="none" w:sz="0" w:space="0" w:color="auto"/>
        <w:right w:val="none" w:sz="0" w:space="0" w:color="auto"/>
      </w:divBdr>
    </w:div>
    <w:div w:id="1309749425">
      <w:bodyDiv w:val="1"/>
      <w:marLeft w:val="0"/>
      <w:marRight w:val="0"/>
      <w:marTop w:val="0"/>
      <w:marBottom w:val="0"/>
      <w:divBdr>
        <w:top w:val="none" w:sz="0" w:space="0" w:color="auto"/>
        <w:left w:val="none" w:sz="0" w:space="0" w:color="auto"/>
        <w:bottom w:val="none" w:sz="0" w:space="0" w:color="auto"/>
        <w:right w:val="none" w:sz="0" w:space="0" w:color="auto"/>
      </w:divBdr>
    </w:div>
    <w:div w:id="1313414797">
      <w:bodyDiv w:val="1"/>
      <w:marLeft w:val="0"/>
      <w:marRight w:val="0"/>
      <w:marTop w:val="0"/>
      <w:marBottom w:val="0"/>
      <w:divBdr>
        <w:top w:val="none" w:sz="0" w:space="0" w:color="auto"/>
        <w:left w:val="none" w:sz="0" w:space="0" w:color="auto"/>
        <w:bottom w:val="none" w:sz="0" w:space="0" w:color="auto"/>
        <w:right w:val="none" w:sz="0" w:space="0" w:color="auto"/>
      </w:divBdr>
    </w:div>
    <w:div w:id="1314869975">
      <w:bodyDiv w:val="1"/>
      <w:marLeft w:val="0"/>
      <w:marRight w:val="0"/>
      <w:marTop w:val="0"/>
      <w:marBottom w:val="0"/>
      <w:divBdr>
        <w:top w:val="none" w:sz="0" w:space="0" w:color="auto"/>
        <w:left w:val="none" w:sz="0" w:space="0" w:color="auto"/>
        <w:bottom w:val="none" w:sz="0" w:space="0" w:color="auto"/>
        <w:right w:val="none" w:sz="0" w:space="0" w:color="auto"/>
      </w:divBdr>
    </w:div>
    <w:div w:id="1340280989">
      <w:bodyDiv w:val="1"/>
      <w:marLeft w:val="0"/>
      <w:marRight w:val="0"/>
      <w:marTop w:val="0"/>
      <w:marBottom w:val="0"/>
      <w:divBdr>
        <w:top w:val="none" w:sz="0" w:space="0" w:color="auto"/>
        <w:left w:val="none" w:sz="0" w:space="0" w:color="auto"/>
        <w:bottom w:val="none" w:sz="0" w:space="0" w:color="auto"/>
        <w:right w:val="none" w:sz="0" w:space="0" w:color="auto"/>
      </w:divBdr>
    </w:div>
    <w:div w:id="1341002971">
      <w:bodyDiv w:val="1"/>
      <w:marLeft w:val="0"/>
      <w:marRight w:val="0"/>
      <w:marTop w:val="0"/>
      <w:marBottom w:val="0"/>
      <w:divBdr>
        <w:top w:val="none" w:sz="0" w:space="0" w:color="auto"/>
        <w:left w:val="none" w:sz="0" w:space="0" w:color="auto"/>
        <w:bottom w:val="none" w:sz="0" w:space="0" w:color="auto"/>
        <w:right w:val="none" w:sz="0" w:space="0" w:color="auto"/>
      </w:divBdr>
    </w:div>
    <w:div w:id="1343123376">
      <w:bodyDiv w:val="1"/>
      <w:marLeft w:val="0"/>
      <w:marRight w:val="0"/>
      <w:marTop w:val="0"/>
      <w:marBottom w:val="0"/>
      <w:divBdr>
        <w:top w:val="none" w:sz="0" w:space="0" w:color="auto"/>
        <w:left w:val="none" w:sz="0" w:space="0" w:color="auto"/>
        <w:bottom w:val="none" w:sz="0" w:space="0" w:color="auto"/>
        <w:right w:val="none" w:sz="0" w:space="0" w:color="auto"/>
      </w:divBdr>
    </w:div>
    <w:div w:id="1346325592">
      <w:bodyDiv w:val="1"/>
      <w:marLeft w:val="0"/>
      <w:marRight w:val="0"/>
      <w:marTop w:val="0"/>
      <w:marBottom w:val="0"/>
      <w:divBdr>
        <w:top w:val="none" w:sz="0" w:space="0" w:color="auto"/>
        <w:left w:val="none" w:sz="0" w:space="0" w:color="auto"/>
        <w:bottom w:val="none" w:sz="0" w:space="0" w:color="auto"/>
        <w:right w:val="none" w:sz="0" w:space="0" w:color="auto"/>
      </w:divBdr>
    </w:div>
    <w:div w:id="1355885688">
      <w:bodyDiv w:val="1"/>
      <w:marLeft w:val="0"/>
      <w:marRight w:val="0"/>
      <w:marTop w:val="0"/>
      <w:marBottom w:val="0"/>
      <w:divBdr>
        <w:top w:val="none" w:sz="0" w:space="0" w:color="auto"/>
        <w:left w:val="none" w:sz="0" w:space="0" w:color="auto"/>
        <w:bottom w:val="none" w:sz="0" w:space="0" w:color="auto"/>
        <w:right w:val="none" w:sz="0" w:space="0" w:color="auto"/>
      </w:divBdr>
    </w:div>
    <w:div w:id="1356421243">
      <w:bodyDiv w:val="1"/>
      <w:marLeft w:val="0"/>
      <w:marRight w:val="0"/>
      <w:marTop w:val="0"/>
      <w:marBottom w:val="0"/>
      <w:divBdr>
        <w:top w:val="none" w:sz="0" w:space="0" w:color="auto"/>
        <w:left w:val="none" w:sz="0" w:space="0" w:color="auto"/>
        <w:bottom w:val="none" w:sz="0" w:space="0" w:color="auto"/>
        <w:right w:val="none" w:sz="0" w:space="0" w:color="auto"/>
      </w:divBdr>
    </w:div>
    <w:div w:id="1384215942">
      <w:bodyDiv w:val="1"/>
      <w:marLeft w:val="0"/>
      <w:marRight w:val="0"/>
      <w:marTop w:val="0"/>
      <w:marBottom w:val="0"/>
      <w:divBdr>
        <w:top w:val="none" w:sz="0" w:space="0" w:color="auto"/>
        <w:left w:val="none" w:sz="0" w:space="0" w:color="auto"/>
        <w:bottom w:val="none" w:sz="0" w:space="0" w:color="auto"/>
        <w:right w:val="none" w:sz="0" w:space="0" w:color="auto"/>
      </w:divBdr>
    </w:div>
    <w:div w:id="1405103025">
      <w:bodyDiv w:val="1"/>
      <w:marLeft w:val="0"/>
      <w:marRight w:val="0"/>
      <w:marTop w:val="0"/>
      <w:marBottom w:val="0"/>
      <w:divBdr>
        <w:top w:val="none" w:sz="0" w:space="0" w:color="auto"/>
        <w:left w:val="none" w:sz="0" w:space="0" w:color="auto"/>
        <w:bottom w:val="none" w:sz="0" w:space="0" w:color="auto"/>
        <w:right w:val="none" w:sz="0" w:space="0" w:color="auto"/>
      </w:divBdr>
    </w:div>
    <w:div w:id="1433476168">
      <w:bodyDiv w:val="1"/>
      <w:marLeft w:val="0"/>
      <w:marRight w:val="0"/>
      <w:marTop w:val="0"/>
      <w:marBottom w:val="0"/>
      <w:divBdr>
        <w:top w:val="none" w:sz="0" w:space="0" w:color="auto"/>
        <w:left w:val="none" w:sz="0" w:space="0" w:color="auto"/>
        <w:bottom w:val="none" w:sz="0" w:space="0" w:color="auto"/>
        <w:right w:val="none" w:sz="0" w:space="0" w:color="auto"/>
      </w:divBdr>
    </w:div>
    <w:div w:id="1438595576">
      <w:bodyDiv w:val="1"/>
      <w:marLeft w:val="0"/>
      <w:marRight w:val="0"/>
      <w:marTop w:val="0"/>
      <w:marBottom w:val="0"/>
      <w:divBdr>
        <w:top w:val="none" w:sz="0" w:space="0" w:color="auto"/>
        <w:left w:val="none" w:sz="0" w:space="0" w:color="auto"/>
        <w:bottom w:val="none" w:sz="0" w:space="0" w:color="auto"/>
        <w:right w:val="none" w:sz="0" w:space="0" w:color="auto"/>
      </w:divBdr>
    </w:div>
    <w:div w:id="1458138511">
      <w:bodyDiv w:val="1"/>
      <w:marLeft w:val="0"/>
      <w:marRight w:val="0"/>
      <w:marTop w:val="0"/>
      <w:marBottom w:val="0"/>
      <w:divBdr>
        <w:top w:val="none" w:sz="0" w:space="0" w:color="auto"/>
        <w:left w:val="none" w:sz="0" w:space="0" w:color="auto"/>
        <w:bottom w:val="none" w:sz="0" w:space="0" w:color="auto"/>
        <w:right w:val="none" w:sz="0" w:space="0" w:color="auto"/>
      </w:divBdr>
    </w:div>
    <w:div w:id="1475291933">
      <w:bodyDiv w:val="1"/>
      <w:marLeft w:val="0"/>
      <w:marRight w:val="0"/>
      <w:marTop w:val="0"/>
      <w:marBottom w:val="0"/>
      <w:divBdr>
        <w:top w:val="none" w:sz="0" w:space="0" w:color="auto"/>
        <w:left w:val="none" w:sz="0" w:space="0" w:color="auto"/>
        <w:bottom w:val="none" w:sz="0" w:space="0" w:color="auto"/>
        <w:right w:val="none" w:sz="0" w:space="0" w:color="auto"/>
      </w:divBdr>
    </w:div>
    <w:div w:id="1531994433">
      <w:bodyDiv w:val="1"/>
      <w:marLeft w:val="0"/>
      <w:marRight w:val="0"/>
      <w:marTop w:val="0"/>
      <w:marBottom w:val="0"/>
      <w:divBdr>
        <w:top w:val="none" w:sz="0" w:space="0" w:color="auto"/>
        <w:left w:val="none" w:sz="0" w:space="0" w:color="auto"/>
        <w:bottom w:val="none" w:sz="0" w:space="0" w:color="auto"/>
        <w:right w:val="none" w:sz="0" w:space="0" w:color="auto"/>
      </w:divBdr>
    </w:div>
    <w:div w:id="1540782240">
      <w:bodyDiv w:val="1"/>
      <w:marLeft w:val="0"/>
      <w:marRight w:val="0"/>
      <w:marTop w:val="0"/>
      <w:marBottom w:val="0"/>
      <w:divBdr>
        <w:top w:val="none" w:sz="0" w:space="0" w:color="auto"/>
        <w:left w:val="none" w:sz="0" w:space="0" w:color="auto"/>
        <w:bottom w:val="none" w:sz="0" w:space="0" w:color="auto"/>
        <w:right w:val="none" w:sz="0" w:space="0" w:color="auto"/>
      </w:divBdr>
    </w:div>
    <w:div w:id="1568878012">
      <w:bodyDiv w:val="1"/>
      <w:marLeft w:val="0"/>
      <w:marRight w:val="0"/>
      <w:marTop w:val="0"/>
      <w:marBottom w:val="0"/>
      <w:divBdr>
        <w:top w:val="none" w:sz="0" w:space="0" w:color="auto"/>
        <w:left w:val="none" w:sz="0" w:space="0" w:color="auto"/>
        <w:bottom w:val="none" w:sz="0" w:space="0" w:color="auto"/>
        <w:right w:val="none" w:sz="0" w:space="0" w:color="auto"/>
      </w:divBdr>
    </w:div>
    <w:div w:id="1570575076">
      <w:bodyDiv w:val="1"/>
      <w:marLeft w:val="0"/>
      <w:marRight w:val="0"/>
      <w:marTop w:val="0"/>
      <w:marBottom w:val="0"/>
      <w:divBdr>
        <w:top w:val="none" w:sz="0" w:space="0" w:color="auto"/>
        <w:left w:val="none" w:sz="0" w:space="0" w:color="auto"/>
        <w:bottom w:val="none" w:sz="0" w:space="0" w:color="auto"/>
        <w:right w:val="none" w:sz="0" w:space="0" w:color="auto"/>
      </w:divBdr>
    </w:div>
    <w:div w:id="1583640343">
      <w:bodyDiv w:val="1"/>
      <w:marLeft w:val="0"/>
      <w:marRight w:val="0"/>
      <w:marTop w:val="0"/>
      <w:marBottom w:val="0"/>
      <w:divBdr>
        <w:top w:val="none" w:sz="0" w:space="0" w:color="auto"/>
        <w:left w:val="none" w:sz="0" w:space="0" w:color="auto"/>
        <w:bottom w:val="none" w:sz="0" w:space="0" w:color="auto"/>
        <w:right w:val="none" w:sz="0" w:space="0" w:color="auto"/>
      </w:divBdr>
    </w:div>
    <w:div w:id="1608537338">
      <w:bodyDiv w:val="1"/>
      <w:marLeft w:val="0"/>
      <w:marRight w:val="0"/>
      <w:marTop w:val="0"/>
      <w:marBottom w:val="0"/>
      <w:divBdr>
        <w:top w:val="none" w:sz="0" w:space="0" w:color="auto"/>
        <w:left w:val="none" w:sz="0" w:space="0" w:color="auto"/>
        <w:bottom w:val="none" w:sz="0" w:space="0" w:color="auto"/>
        <w:right w:val="none" w:sz="0" w:space="0" w:color="auto"/>
      </w:divBdr>
    </w:div>
    <w:div w:id="1626429052">
      <w:bodyDiv w:val="1"/>
      <w:marLeft w:val="0"/>
      <w:marRight w:val="0"/>
      <w:marTop w:val="0"/>
      <w:marBottom w:val="0"/>
      <w:divBdr>
        <w:top w:val="none" w:sz="0" w:space="0" w:color="auto"/>
        <w:left w:val="none" w:sz="0" w:space="0" w:color="auto"/>
        <w:bottom w:val="none" w:sz="0" w:space="0" w:color="auto"/>
        <w:right w:val="none" w:sz="0" w:space="0" w:color="auto"/>
      </w:divBdr>
    </w:div>
    <w:div w:id="1629815690">
      <w:bodyDiv w:val="1"/>
      <w:marLeft w:val="0"/>
      <w:marRight w:val="0"/>
      <w:marTop w:val="0"/>
      <w:marBottom w:val="0"/>
      <w:divBdr>
        <w:top w:val="none" w:sz="0" w:space="0" w:color="auto"/>
        <w:left w:val="none" w:sz="0" w:space="0" w:color="auto"/>
        <w:bottom w:val="none" w:sz="0" w:space="0" w:color="auto"/>
        <w:right w:val="none" w:sz="0" w:space="0" w:color="auto"/>
      </w:divBdr>
    </w:div>
    <w:div w:id="1631744457">
      <w:bodyDiv w:val="1"/>
      <w:marLeft w:val="0"/>
      <w:marRight w:val="0"/>
      <w:marTop w:val="0"/>
      <w:marBottom w:val="0"/>
      <w:divBdr>
        <w:top w:val="none" w:sz="0" w:space="0" w:color="auto"/>
        <w:left w:val="none" w:sz="0" w:space="0" w:color="auto"/>
        <w:bottom w:val="none" w:sz="0" w:space="0" w:color="auto"/>
        <w:right w:val="none" w:sz="0" w:space="0" w:color="auto"/>
      </w:divBdr>
    </w:div>
    <w:div w:id="1636056872">
      <w:bodyDiv w:val="1"/>
      <w:marLeft w:val="0"/>
      <w:marRight w:val="0"/>
      <w:marTop w:val="0"/>
      <w:marBottom w:val="0"/>
      <w:divBdr>
        <w:top w:val="none" w:sz="0" w:space="0" w:color="auto"/>
        <w:left w:val="none" w:sz="0" w:space="0" w:color="auto"/>
        <w:bottom w:val="none" w:sz="0" w:space="0" w:color="auto"/>
        <w:right w:val="none" w:sz="0" w:space="0" w:color="auto"/>
      </w:divBdr>
    </w:div>
    <w:div w:id="1636525851">
      <w:bodyDiv w:val="1"/>
      <w:marLeft w:val="0"/>
      <w:marRight w:val="0"/>
      <w:marTop w:val="0"/>
      <w:marBottom w:val="0"/>
      <w:divBdr>
        <w:top w:val="none" w:sz="0" w:space="0" w:color="auto"/>
        <w:left w:val="none" w:sz="0" w:space="0" w:color="auto"/>
        <w:bottom w:val="none" w:sz="0" w:space="0" w:color="auto"/>
        <w:right w:val="none" w:sz="0" w:space="0" w:color="auto"/>
      </w:divBdr>
    </w:div>
    <w:div w:id="1648435423">
      <w:bodyDiv w:val="1"/>
      <w:marLeft w:val="0"/>
      <w:marRight w:val="0"/>
      <w:marTop w:val="0"/>
      <w:marBottom w:val="0"/>
      <w:divBdr>
        <w:top w:val="none" w:sz="0" w:space="0" w:color="auto"/>
        <w:left w:val="none" w:sz="0" w:space="0" w:color="auto"/>
        <w:bottom w:val="none" w:sz="0" w:space="0" w:color="auto"/>
        <w:right w:val="none" w:sz="0" w:space="0" w:color="auto"/>
      </w:divBdr>
    </w:div>
    <w:div w:id="1651212213">
      <w:bodyDiv w:val="1"/>
      <w:marLeft w:val="0"/>
      <w:marRight w:val="0"/>
      <w:marTop w:val="0"/>
      <w:marBottom w:val="0"/>
      <w:divBdr>
        <w:top w:val="none" w:sz="0" w:space="0" w:color="auto"/>
        <w:left w:val="none" w:sz="0" w:space="0" w:color="auto"/>
        <w:bottom w:val="none" w:sz="0" w:space="0" w:color="auto"/>
        <w:right w:val="none" w:sz="0" w:space="0" w:color="auto"/>
      </w:divBdr>
    </w:div>
    <w:div w:id="1658609359">
      <w:bodyDiv w:val="1"/>
      <w:marLeft w:val="0"/>
      <w:marRight w:val="0"/>
      <w:marTop w:val="0"/>
      <w:marBottom w:val="0"/>
      <w:divBdr>
        <w:top w:val="none" w:sz="0" w:space="0" w:color="auto"/>
        <w:left w:val="none" w:sz="0" w:space="0" w:color="auto"/>
        <w:bottom w:val="none" w:sz="0" w:space="0" w:color="auto"/>
        <w:right w:val="none" w:sz="0" w:space="0" w:color="auto"/>
      </w:divBdr>
    </w:div>
    <w:div w:id="1673679390">
      <w:bodyDiv w:val="1"/>
      <w:marLeft w:val="0"/>
      <w:marRight w:val="0"/>
      <w:marTop w:val="0"/>
      <w:marBottom w:val="0"/>
      <w:divBdr>
        <w:top w:val="none" w:sz="0" w:space="0" w:color="auto"/>
        <w:left w:val="none" w:sz="0" w:space="0" w:color="auto"/>
        <w:bottom w:val="none" w:sz="0" w:space="0" w:color="auto"/>
        <w:right w:val="none" w:sz="0" w:space="0" w:color="auto"/>
      </w:divBdr>
    </w:div>
    <w:div w:id="1701280152">
      <w:bodyDiv w:val="1"/>
      <w:marLeft w:val="0"/>
      <w:marRight w:val="0"/>
      <w:marTop w:val="0"/>
      <w:marBottom w:val="0"/>
      <w:divBdr>
        <w:top w:val="none" w:sz="0" w:space="0" w:color="auto"/>
        <w:left w:val="none" w:sz="0" w:space="0" w:color="auto"/>
        <w:bottom w:val="none" w:sz="0" w:space="0" w:color="auto"/>
        <w:right w:val="none" w:sz="0" w:space="0" w:color="auto"/>
      </w:divBdr>
    </w:div>
    <w:div w:id="1705790235">
      <w:bodyDiv w:val="1"/>
      <w:marLeft w:val="0"/>
      <w:marRight w:val="0"/>
      <w:marTop w:val="0"/>
      <w:marBottom w:val="0"/>
      <w:divBdr>
        <w:top w:val="none" w:sz="0" w:space="0" w:color="auto"/>
        <w:left w:val="none" w:sz="0" w:space="0" w:color="auto"/>
        <w:bottom w:val="none" w:sz="0" w:space="0" w:color="auto"/>
        <w:right w:val="none" w:sz="0" w:space="0" w:color="auto"/>
      </w:divBdr>
    </w:div>
    <w:div w:id="1732465356">
      <w:bodyDiv w:val="1"/>
      <w:marLeft w:val="0"/>
      <w:marRight w:val="0"/>
      <w:marTop w:val="0"/>
      <w:marBottom w:val="0"/>
      <w:divBdr>
        <w:top w:val="none" w:sz="0" w:space="0" w:color="auto"/>
        <w:left w:val="none" w:sz="0" w:space="0" w:color="auto"/>
        <w:bottom w:val="none" w:sz="0" w:space="0" w:color="auto"/>
        <w:right w:val="none" w:sz="0" w:space="0" w:color="auto"/>
      </w:divBdr>
    </w:div>
    <w:div w:id="1733383483">
      <w:bodyDiv w:val="1"/>
      <w:marLeft w:val="0"/>
      <w:marRight w:val="0"/>
      <w:marTop w:val="0"/>
      <w:marBottom w:val="0"/>
      <w:divBdr>
        <w:top w:val="none" w:sz="0" w:space="0" w:color="auto"/>
        <w:left w:val="none" w:sz="0" w:space="0" w:color="auto"/>
        <w:bottom w:val="none" w:sz="0" w:space="0" w:color="auto"/>
        <w:right w:val="none" w:sz="0" w:space="0" w:color="auto"/>
      </w:divBdr>
    </w:div>
    <w:div w:id="1733581180">
      <w:bodyDiv w:val="1"/>
      <w:marLeft w:val="0"/>
      <w:marRight w:val="0"/>
      <w:marTop w:val="0"/>
      <w:marBottom w:val="0"/>
      <w:divBdr>
        <w:top w:val="none" w:sz="0" w:space="0" w:color="auto"/>
        <w:left w:val="none" w:sz="0" w:space="0" w:color="auto"/>
        <w:bottom w:val="none" w:sz="0" w:space="0" w:color="auto"/>
        <w:right w:val="none" w:sz="0" w:space="0" w:color="auto"/>
      </w:divBdr>
    </w:div>
    <w:div w:id="1750928874">
      <w:bodyDiv w:val="1"/>
      <w:marLeft w:val="0"/>
      <w:marRight w:val="0"/>
      <w:marTop w:val="0"/>
      <w:marBottom w:val="0"/>
      <w:divBdr>
        <w:top w:val="none" w:sz="0" w:space="0" w:color="auto"/>
        <w:left w:val="none" w:sz="0" w:space="0" w:color="auto"/>
        <w:bottom w:val="none" w:sz="0" w:space="0" w:color="auto"/>
        <w:right w:val="none" w:sz="0" w:space="0" w:color="auto"/>
      </w:divBdr>
    </w:div>
    <w:div w:id="1752313638">
      <w:bodyDiv w:val="1"/>
      <w:marLeft w:val="0"/>
      <w:marRight w:val="0"/>
      <w:marTop w:val="0"/>
      <w:marBottom w:val="0"/>
      <w:divBdr>
        <w:top w:val="none" w:sz="0" w:space="0" w:color="auto"/>
        <w:left w:val="none" w:sz="0" w:space="0" w:color="auto"/>
        <w:bottom w:val="none" w:sz="0" w:space="0" w:color="auto"/>
        <w:right w:val="none" w:sz="0" w:space="0" w:color="auto"/>
      </w:divBdr>
    </w:div>
    <w:div w:id="1761608136">
      <w:bodyDiv w:val="1"/>
      <w:marLeft w:val="0"/>
      <w:marRight w:val="0"/>
      <w:marTop w:val="0"/>
      <w:marBottom w:val="0"/>
      <w:divBdr>
        <w:top w:val="none" w:sz="0" w:space="0" w:color="auto"/>
        <w:left w:val="none" w:sz="0" w:space="0" w:color="auto"/>
        <w:bottom w:val="none" w:sz="0" w:space="0" w:color="auto"/>
        <w:right w:val="none" w:sz="0" w:space="0" w:color="auto"/>
      </w:divBdr>
    </w:div>
    <w:div w:id="1791127567">
      <w:bodyDiv w:val="1"/>
      <w:marLeft w:val="0"/>
      <w:marRight w:val="0"/>
      <w:marTop w:val="0"/>
      <w:marBottom w:val="0"/>
      <w:divBdr>
        <w:top w:val="none" w:sz="0" w:space="0" w:color="auto"/>
        <w:left w:val="none" w:sz="0" w:space="0" w:color="auto"/>
        <w:bottom w:val="none" w:sz="0" w:space="0" w:color="auto"/>
        <w:right w:val="none" w:sz="0" w:space="0" w:color="auto"/>
      </w:divBdr>
    </w:div>
    <w:div w:id="1799562871">
      <w:bodyDiv w:val="1"/>
      <w:marLeft w:val="0"/>
      <w:marRight w:val="0"/>
      <w:marTop w:val="0"/>
      <w:marBottom w:val="0"/>
      <w:divBdr>
        <w:top w:val="none" w:sz="0" w:space="0" w:color="auto"/>
        <w:left w:val="none" w:sz="0" w:space="0" w:color="auto"/>
        <w:bottom w:val="none" w:sz="0" w:space="0" w:color="auto"/>
        <w:right w:val="none" w:sz="0" w:space="0" w:color="auto"/>
      </w:divBdr>
    </w:div>
    <w:div w:id="1818378106">
      <w:bodyDiv w:val="1"/>
      <w:marLeft w:val="0"/>
      <w:marRight w:val="0"/>
      <w:marTop w:val="0"/>
      <w:marBottom w:val="0"/>
      <w:divBdr>
        <w:top w:val="none" w:sz="0" w:space="0" w:color="auto"/>
        <w:left w:val="none" w:sz="0" w:space="0" w:color="auto"/>
        <w:bottom w:val="none" w:sz="0" w:space="0" w:color="auto"/>
        <w:right w:val="none" w:sz="0" w:space="0" w:color="auto"/>
      </w:divBdr>
    </w:div>
    <w:div w:id="1858613813">
      <w:bodyDiv w:val="1"/>
      <w:marLeft w:val="0"/>
      <w:marRight w:val="0"/>
      <w:marTop w:val="0"/>
      <w:marBottom w:val="0"/>
      <w:divBdr>
        <w:top w:val="none" w:sz="0" w:space="0" w:color="auto"/>
        <w:left w:val="none" w:sz="0" w:space="0" w:color="auto"/>
        <w:bottom w:val="none" w:sz="0" w:space="0" w:color="auto"/>
        <w:right w:val="none" w:sz="0" w:space="0" w:color="auto"/>
      </w:divBdr>
    </w:div>
    <w:div w:id="1892181792">
      <w:bodyDiv w:val="1"/>
      <w:marLeft w:val="0"/>
      <w:marRight w:val="0"/>
      <w:marTop w:val="0"/>
      <w:marBottom w:val="0"/>
      <w:divBdr>
        <w:top w:val="none" w:sz="0" w:space="0" w:color="auto"/>
        <w:left w:val="none" w:sz="0" w:space="0" w:color="auto"/>
        <w:bottom w:val="none" w:sz="0" w:space="0" w:color="auto"/>
        <w:right w:val="none" w:sz="0" w:space="0" w:color="auto"/>
      </w:divBdr>
    </w:div>
    <w:div w:id="1906212655">
      <w:bodyDiv w:val="1"/>
      <w:marLeft w:val="0"/>
      <w:marRight w:val="0"/>
      <w:marTop w:val="0"/>
      <w:marBottom w:val="0"/>
      <w:divBdr>
        <w:top w:val="none" w:sz="0" w:space="0" w:color="auto"/>
        <w:left w:val="none" w:sz="0" w:space="0" w:color="auto"/>
        <w:bottom w:val="none" w:sz="0" w:space="0" w:color="auto"/>
        <w:right w:val="none" w:sz="0" w:space="0" w:color="auto"/>
      </w:divBdr>
    </w:div>
    <w:div w:id="1913470757">
      <w:bodyDiv w:val="1"/>
      <w:marLeft w:val="0"/>
      <w:marRight w:val="0"/>
      <w:marTop w:val="0"/>
      <w:marBottom w:val="0"/>
      <w:divBdr>
        <w:top w:val="none" w:sz="0" w:space="0" w:color="auto"/>
        <w:left w:val="none" w:sz="0" w:space="0" w:color="auto"/>
        <w:bottom w:val="none" w:sz="0" w:space="0" w:color="auto"/>
        <w:right w:val="none" w:sz="0" w:space="0" w:color="auto"/>
      </w:divBdr>
    </w:div>
    <w:div w:id="1923642219">
      <w:bodyDiv w:val="1"/>
      <w:marLeft w:val="0"/>
      <w:marRight w:val="0"/>
      <w:marTop w:val="0"/>
      <w:marBottom w:val="0"/>
      <w:divBdr>
        <w:top w:val="none" w:sz="0" w:space="0" w:color="auto"/>
        <w:left w:val="none" w:sz="0" w:space="0" w:color="auto"/>
        <w:bottom w:val="none" w:sz="0" w:space="0" w:color="auto"/>
        <w:right w:val="none" w:sz="0" w:space="0" w:color="auto"/>
      </w:divBdr>
    </w:div>
    <w:div w:id="1925413611">
      <w:bodyDiv w:val="1"/>
      <w:marLeft w:val="0"/>
      <w:marRight w:val="0"/>
      <w:marTop w:val="0"/>
      <w:marBottom w:val="0"/>
      <w:divBdr>
        <w:top w:val="none" w:sz="0" w:space="0" w:color="auto"/>
        <w:left w:val="none" w:sz="0" w:space="0" w:color="auto"/>
        <w:bottom w:val="none" w:sz="0" w:space="0" w:color="auto"/>
        <w:right w:val="none" w:sz="0" w:space="0" w:color="auto"/>
      </w:divBdr>
    </w:div>
    <w:div w:id="1939482889">
      <w:bodyDiv w:val="1"/>
      <w:marLeft w:val="0"/>
      <w:marRight w:val="0"/>
      <w:marTop w:val="0"/>
      <w:marBottom w:val="0"/>
      <w:divBdr>
        <w:top w:val="none" w:sz="0" w:space="0" w:color="auto"/>
        <w:left w:val="none" w:sz="0" w:space="0" w:color="auto"/>
        <w:bottom w:val="none" w:sz="0" w:space="0" w:color="auto"/>
        <w:right w:val="none" w:sz="0" w:space="0" w:color="auto"/>
      </w:divBdr>
    </w:div>
    <w:div w:id="1950895465">
      <w:bodyDiv w:val="1"/>
      <w:marLeft w:val="0"/>
      <w:marRight w:val="0"/>
      <w:marTop w:val="0"/>
      <w:marBottom w:val="0"/>
      <w:divBdr>
        <w:top w:val="none" w:sz="0" w:space="0" w:color="auto"/>
        <w:left w:val="none" w:sz="0" w:space="0" w:color="auto"/>
        <w:bottom w:val="none" w:sz="0" w:space="0" w:color="auto"/>
        <w:right w:val="none" w:sz="0" w:space="0" w:color="auto"/>
      </w:divBdr>
    </w:div>
    <w:div w:id="1964572824">
      <w:bodyDiv w:val="1"/>
      <w:marLeft w:val="0"/>
      <w:marRight w:val="0"/>
      <w:marTop w:val="0"/>
      <w:marBottom w:val="0"/>
      <w:divBdr>
        <w:top w:val="none" w:sz="0" w:space="0" w:color="auto"/>
        <w:left w:val="none" w:sz="0" w:space="0" w:color="auto"/>
        <w:bottom w:val="none" w:sz="0" w:space="0" w:color="auto"/>
        <w:right w:val="none" w:sz="0" w:space="0" w:color="auto"/>
      </w:divBdr>
    </w:div>
    <w:div w:id="1987734134">
      <w:bodyDiv w:val="1"/>
      <w:marLeft w:val="0"/>
      <w:marRight w:val="0"/>
      <w:marTop w:val="0"/>
      <w:marBottom w:val="0"/>
      <w:divBdr>
        <w:top w:val="none" w:sz="0" w:space="0" w:color="auto"/>
        <w:left w:val="none" w:sz="0" w:space="0" w:color="auto"/>
        <w:bottom w:val="none" w:sz="0" w:space="0" w:color="auto"/>
        <w:right w:val="none" w:sz="0" w:space="0" w:color="auto"/>
      </w:divBdr>
    </w:div>
    <w:div w:id="1996566729">
      <w:bodyDiv w:val="1"/>
      <w:marLeft w:val="0"/>
      <w:marRight w:val="0"/>
      <w:marTop w:val="0"/>
      <w:marBottom w:val="0"/>
      <w:divBdr>
        <w:top w:val="none" w:sz="0" w:space="0" w:color="auto"/>
        <w:left w:val="none" w:sz="0" w:space="0" w:color="auto"/>
        <w:bottom w:val="none" w:sz="0" w:space="0" w:color="auto"/>
        <w:right w:val="none" w:sz="0" w:space="0" w:color="auto"/>
      </w:divBdr>
    </w:div>
    <w:div w:id="2003925436">
      <w:bodyDiv w:val="1"/>
      <w:marLeft w:val="0"/>
      <w:marRight w:val="0"/>
      <w:marTop w:val="0"/>
      <w:marBottom w:val="0"/>
      <w:divBdr>
        <w:top w:val="none" w:sz="0" w:space="0" w:color="auto"/>
        <w:left w:val="none" w:sz="0" w:space="0" w:color="auto"/>
        <w:bottom w:val="none" w:sz="0" w:space="0" w:color="auto"/>
        <w:right w:val="none" w:sz="0" w:space="0" w:color="auto"/>
      </w:divBdr>
    </w:div>
    <w:div w:id="2042247452">
      <w:bodyDiv w:val="1"/>
      <w:marLeft w:val="0"/>
      <w:marRight w:val="0"/>
      <w:marTop w:val="0"/>
      <w:marBottom w:val="0"/>
      <w:divBdr>
        <w:top w:val="none" w:sz="0" w:space="0" w:color="auto"/>
        <w:left w:val="none" w:sz="0" w:space="0" w:color="auto"/>
        <w:bottom w:val="none" w:sz="0" w:space="0" w:color="auto"/>
        <w:right w:val="none" w:sz="0" w:space="0" w:color="auto"/>
      </w:divBdr>
    </w:div>
    <w:div w:id="2067876705">
      <w:bodyDiv w:val="1"/>
      <w:marLeft w:val="0"/>
      <w:marRight w:val="0"/>
      <w:marTop w:val="0"/>
      <w:marBottom w:val="0"/>
      <w:divBdr>
        <w:top w:val="none" w:sz="0" w:space="0" w:color="auto"/>
        <w:left w:val="none" w:sz="0" w:space="0" w:color="auto"/>
        <w:bottom w:val="none" w:sz="0" w:space="0" w:color="auto"/>
        <w:right w:val="none" w:sz="0" w:space="0" w:color="auto"/>
      </w:divBdr>
    </w:div>
    <w:div w:id="2070765031">
      <w:bodyDiv w:val="1"/>
      <w:marLeft w:val="0"/>
      <w:marRight w:val="0"/>
      <w:marTop w:val="0"/>
      <w:marBottom w:val="0"/>
      <w:divBdr>
        <w:top w:val="none" w:sz="0" w:space="0" w:color="auto"/>
        <w:left w:val="none" w:sz="0" w:space="0" w:color="auto"/>
        <w:bottom w:val="none" w:sz="0" w:space="0" w:color="auto"/>
        <w:right w:val="none" w:sz="0" w:space="0" w:color="auto"/>
      </w:divBdr>
    </w:div>
    <w:div w:id="2083940958">
      <w:bodyDiv w:val="1"/>
      <w:marLeft w:val="0"/>
      <w:marRight w:val="0"/>
      <w:marTop w:val="0"/>
      <w:marBottom w:val="0"/>
      <w:divBdr>
        <w:top w:val="none" w:sz="0" w:space="0" w:color="auto"/>
        <w:left w:val="none" w:sz="0" w:space="0" w:color="auto"/>
        <w:bottom w:val="none" w:sz="0" w:space="0" w:color="auto"/>
        <w:right w:val="none" w:sz="0" w:space="0" w:color="auto"/>
      </w:divBdr>
    </w:div>
    <w:div w:id="2089450960">
      <w:bodyDiv w:val="1"/>
      <w:marLeft w:val="0"/>
      <w:marRight w:val="0"/>
      <w:marTop w:val="0"/>
      <w:marBottom w:val="0"/>
      <w:divBdr>
        <w:top w:val="none" w:sz="0" w:space="0" w:color="auto"/>
        <w:left w:val="none" w:sz="0" w:space="0" w:color="auto"/>
        <w:bottom w:val="none" w:sz="0" w:space="0" w:color="auto"/>
        <w:right w:val="none" w:sz="0" w:space="0" w:color="auto"/>
      </w:divBdr>
    </w:div>
    <w:div w:id="2091392451">
      <w:bodyDiv w:val="1"/>
      <w:marLeft w:val="0"/>
      <w:marRight w:val="0"/>
      <w:marTop w:val="0"/>
      <w:marBottom w:val="0"/>
      <w:divBdr>
        <w:top w:val="none" w:sz="0" w:space="0" w:color="auto"/>
        <w:left w:val="none" w:sz="0" w:space="0" w:color="auto"/>
        <w:bottom w:val="none" w:sz="0" w:space="0" w:color="auto"/>
        <w:right w:val="none" w:sz="0" w:space="0" w:color="auto"/>
      </w:divBdr>
    </w:div>
    <w:div w:id="214704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x678.com/news/currency/EUR.html"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95EE-98A8-4F5D-8B6C-99B90F60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14</Pages>
  <Words>1474</Words>
  <Characters>8402</Characters>
  <Application>Microsoft Office Word</Application>
  <DocSecurity>0</DocSecurity>
  <Lines>70</Lines>
  <Paragraphs>19</Paragraphs>
  <ScaleCrop>false</ScaleCrop>
  <Company>湖州163软件园</Company>
  <LinksUpToDate>false</LinksUpToDate>
  <CharactersWithSpaces>9857</CharactersWithSpaces>
  <SharedDoc>false</SharedDoc>
  <HLinks>
    <vt:vector size="18" baseType="variant">
      <vt:variant>
        <vt:i4>458827</vt:i4>
      </vt:variant>
      <vt:variant>
        <vt:i4>6</vt:i4>
      </vt:variant>
      <vt:variant>
        <vt:i4>0</vt:i4>
      </vt:variant>
      <vt:variant>
        <vt:i4>5</vt:i4>
      </vt:variant>
      <vt:variant>
        <vt:lpwstr>http://www.fx678.com/indexs/MainInterest.html</vt:lpwstr>
      </vt:variant>
      <vt:variant>
        <vt:lpwstr/>
      </vt:variant>
      <vt:variant>
        <vt:i4>8257606</vt:i4>
      </vt:variant>
      <vt:variant>
        <vt:i4>3</vt:i4>
      </vt:variant>
      <vt:variant>
        <vt:i4>0</vt:i4>
      </vt:variant>
      <vt:variant>
        <vt:i4>5</vt:i4>
      </vt:variant>
      <vt:variant>
        <vt:lpwstr>http://yinghang.gold678.com/china_bank.shtml</vt:lpwstr>
      </vt:variant>
      <vt:variant>
        <vt:lpwstr/>
      </vt:variant>
      <vt:variant>
        <vt:i4>7929968</vt:i4>
      </vt:variant>
      <vt:variant>
        <vt:i4>0</vt:i4>
      </vt:variant>
      <vt:variant>
        <vt:i4>0</vt:i4>
      </vt:variant>
      <vt:variant>
        <vt:i4>5</vt:i4>
      </vt:variant>
      <vt:variant>
        <vt:lpwstr>http://www.fx678.com/news/currency/EUR.html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策略月报</dc:title>
  <dc:subject/>
  <dc:creator>liuyq</dc:creator>
  <cp:keywords/>
  <dc:description/>
  <cp:lastModifiedBy>刘亦千:</cp:lastModifiedBy>
  <cp:revision>98</cp:revision>
  <cp:lastPrinted>2014-03-07T05:46:00Z</cp:lastPrinted>
  <dcterms:created xsi:type="dcterms:W3CDTF">2013-11-06T09:21:00Z</dcterms:created>
  <dcterms:modified xsi:type="dcterms:W3CDTF">2014-04-03T06:36:00Z</dcterms:modified>
</cp:coreProperties>
</file>