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961E7F" w:rsidRDefault="00C01486" w:rsidP="007B3051">
      <w:pPr>
        <w:widowControl/>
        <w:spacing w:after="120" w:line="240" w:lineRule="exact"/>
        <w:ind w:left="3430"/>
        <w:rPr>
          <w:rFonts w:ascii="楷体" w:eastAsia="楷体" w:hAnsi="楷体" w:cs="Times New Roman"/>
          <w:b/>
          <w:bCs/>
          <w:color w:val="0070C0"/>
          <w:kern w:val="0"/>
          <w:sz w:val="24"/>
          <w:szCs w:val="20"/>
          <w:lang w:val="en-GB"/>
        </w:rPr>
      </w:pPr>
      <w:r>
        <w:rPr>
          <w:rFonts w:ascii="楷体" w:eastAsia="楷体" w:hAnsi="楷体" w:cs="Times New Roman" w:hint="eastAsia"/>
          <w:b/>
          <w:bCs/>
          <w:color w:val="0070C0"/>
          <w:kern w:val="0"/>
          <w:sz w:val="24"/>
          <w:szCs w:val="20"/>
          <w:lang w:val="en-GB"/>
        </w:rPr>
        <w:t>导语</w:t>
      </w:r>
    </w:p>
    <w:p w:rsidR="00D92D8A" w:rsidRDefault="00DF035E" w:rsidP="00C01486">
      <w:pPr>
        <w:pStyle w:val="ab"/>
        <w:numPr>
          <w:ilvl w:val="4"/>
          <w:numId w:val="1"/>
        </w:numPr>
        <w:spacing w:after="163"/>
        <w:rPr>
          <w:b/>
          <w:color w:val="auto"/>
        </w:rPr>
      </w:pPr>
      <w:r w:rsidRPr="00DF035E">
        <w:rPr>
          <w:b/>
          <w:color w:val="auto"/>
        </w:rPr>
        <w:t>2014</w:t>
      </w:r>
      <w:r w:rsidRPr="00DF035E">
        <w:rPr>
          <w:rFonts w:hint="eastAsia"/>
          <w:b/>
          <w:color w:val="auto"/>
        </w:rPr>
        <w:t>年</w:t>
      </w:r>
      <w:r w:rsidRPr="00DF035E">
        <w:rPr>
          <w:b/>
          <w:color w:val="auto"/>
        </w:rPr>
        <w:t>3</w:t>
      </w:r>
      <w:r w:rsidRPr="00DF035E">
        <w:rPr>
          <w:rFonts w:hint="eastAsia"/>
          <w:b/>
          <w:color w:val="auto"/>
        </w:rPr>
        <w:t>月下半月基金发行设立热情依旧，截止</w:t>
      </w:r>
      <w:r w:rsidRPr="00DF035E">
        <w:rPr>
          <w:b/>
          <w:color w:val="auto"/>
        </w:rPr>
        <w:t>4</w:t>
      </w:r>
      <w:r w:rsidRPr="00DF035E">
        <w:rPr>
          <w:rFonts w:hint="eastAsia"/>
          <w:b/>
          <w:color w:val="auto"/>
        </w:rPr>
        <w:t>月</w:t>
      </w:r>
      <w:r w:rsidRPr="00DF035E">
        <w:rPr>
          <w:b/>
          <w:color w:val="auto"/>
        </w:rPr>
        <w:t>8</w:t>
      </w:r>
      <w:r w:rsidRPr="00DF035E">
        <w:rPr>
          <w:rFonts w:hint="eastAsia"/>
          <w:b/>
          <w:color w:val="auto"/>
        </w:rPr>
        <w:t>日，共有</w:t>
      </w:r>
      <w:r w:rsidRPr="00DF035E">
        <w:rPr>
          <w:b/>
          <w:color w:val="auto"/>
        </w:rPr>
        <w:t>24</w:t>
      </w:r>
      <w:r w:rsidRPr="00DF035E">
        <w:rPr>
          <w:rFonts w:hint="eastAsia"/>
          <w:b/>
          <w:color w:val="auto"/>
        </w:rPr>
        <w:t>只产品正在发行，且以投资股票市场的权益类产品为主</w:t>
      </w:r>
      <w:r>
        <w:rPr>
          <w:rFonts w:hint="eastAsia"/>
          <w:b/>
          <w:color w:val="auto"/>
        </w:rPr>
        <w:t>，</w:t>
      </w:r>
      <w:r w:rsidRPr="00DF035E">
        <w:rPr>
          <w:rFonts w:hint="eastAsia"/>
          <w:b/>
          <w:color w:val="auto"/>
        </w:rPr>
        <w:t>可见基金公司对于后市表现普遍乐观</w:t>
      </w:r>
      <w:r>
        <w:rPr>
          <w:rFonts w:hint="eastAsia"/>
          <w:b/>
          <w:color w:val="auto"/>
        </w:rPr>
        <w:t>。</w:t>
      </w:r>
      <w:r w:rsidR="00921D38" w:rsidRPr="00921D38">
        <w:rPr>
          <w:rFonts w:hint="eastAsia"/>
          <w:b/>
          <w:color w:val="auto"/>
        </w:rPr>
        <w:t>从近期发行设立产品的投资方向上来看，各类主题型产品充斥着整个权益类基金市场</w:t>
      </w:r>
      <w:r w:rsidR="00921D38">
        <w:rPr>
          <w:rFonts w:hint="eastAsia"/>
          <w:b/>
          <w:color w:val="auto"/>
        </w:rPr>
        <w:t>,</w:t>
      </w:r>
      <w:r w:rsidR="00921D38" w:rsidRPr="00921D38">
        <w:rPr>
          <w:rFonts w:hint="eastAsia"/>
          <w:b/>
          <w:color w:val="auto"/>
        </w:rPr>
        <w:t>具体投资主题</w:t>
      </w:r>
      <w:r w:rsidR="00921D38">
        <w:rPr>
          <w:rFonts w:hint="eastAsia"/>
          <w:b/>
          <w:color w:val="auto"/>
        </w:rPr>
        <w:t>主要沿着“两会”提及的政策方向展开，</w:t>
      </w:r>
      <w:r w:rsidR="00921D38" w:rsidRPr="00921D38">
        <w:rPr>
          <w:rFonts w:hint="eastAsia"/>
          <w:b/>
          <w:color w:val="auto"/>
        </w:rPr>
        <w:t>大国新经济、节能环保、信息安全、军工等等</w:t>
      </w:r>
      <w:r w:rsidR="00921D38">
        <w:rPr>
          <w:rFonts w:hint="eastAsia"/>
          <w:b/>
          <w:color w:val="auto"/>
        </w:rPr>
        <w:t>较为普遍。</w:t>
      </w:r>
      <w:r w:rsidR="00831257">
        <w:rPr>
          <w:rFonts w:hint="eastAsia"/>
          <w:b/>
          <w:color w:val="auto"/>
        </w:rPr>
        <w:t xml:space="preserve"> </w:t>
      </w:r>
    </w:p>
    <w:p w:rsidR="00C01486" w:rsidRDefault="00921D38" w:rsidP="00C01486">
      <w:pPr>
        <w:pStyle w:val="ab"/>
        <w:numPr>
          <w:ilvl w:val="4"/>
          <w:numId w:val="1"/>
        </w:numPr>
        <w:spacing w:after="163"/>
        <w:rPr>
          <w:b/>
          <w:color w:val="auto"/>
        </w:rPr>
      </w:pPr>
      <w:r>
        <w:rPr>
          <w:rFonts w:hint="eastAsia"/>
          <w:b/>
          <w:color w:val="auto"/>
        </w:rPr>
        <w:t>目前正在募集的新产品中，</w:t>
      </w:r>
      <w:r w:rsidRPr="00A322C5">
        <w:rPr>
          <w:rFonts w:ascii="楷体" w:eastAsia="楷体" w:hAnsi="楷体" w:hint="eastAsia"/>
          <w:b/>
          <w:color w:val="auto"/>
        </w:rPr>
        <w:t>新华一路财富灵活配置混合</w:t>
      </w:r>
      <w:r w:rsidRPr="00C01486">
        <w:rPr>
          <w:rFonts w:ascii="楷体" w:eastAsia="楷体" w:hAnsi="楷体" w:hint="eastAsia"/>
          <w:b/>
          <w:color w:val="auto"/>
        </w:rPr>
        <w:t>基金</w:t>
      </w:r>
      <w:r>
        <w:rPr>
          <w:rFonts w:ascii="楷体" w:eastAsia="楷体" w:hAnsi="楷体" w:hint="eastAsia"/>
          <w:b/>
          <w:color w:val="auto"/>
        </w:rPr>
        <w:t>是首</w:t>
      </w:r>
      <w:r w:rsidRPr="00921D38">
        <w:rPr>
          <w:rFonts w:ascii="楷体" w:eastAsia="楷体" w:hAnsi="楷体" w:hint="eastAsia"/>
          <w:b/>
          <w:color w:val="auto"/>
        </w:rPr>
        <w:t>只互联网定制的主动管理的权益类基金</w:t>
      </w:r>
      <w:r>
        <w:rPr>
          <w:rFonts w:ascii="楷体" w:eastAsia="楷体" w:hAnsi="楷体" w:hint="eastAsia"/>
          <w:b/>
          <w:color w:val="auto"/>
        </w:rPr>
        <w:t>，而且追求绝对回报，业绩比较基准</w:t>
      </w:r>
      <w:proofErr w:type="gramStart"/>
      <w:r>
        <w:rPr>
          <w:rFonts w:ascii="楷体" w:eastAsia="楷体" w:hAnsi="楷体" w:hint="eastAsia"/>
          <w:b/>
          <w:color w:val="auto"/>
        </w:rPr>
        <w:t>为年化收益率</w:t>
      </w:r>
      <w:proofErr w:type="gramEnd"/>
      <w:r>
        <w:rPr>
          <w:rFonts w:ascii="楷体" w:eastAsia="楷体" w:hAnsi="楷体" w:hint="eastAsia"/>
          <w:b/>
          <w:color w:val="auto"/>
        </w:rPr>
        <w:t>10%，加上该产品低门槛、低费率，因此具备一定的吸引力</w:t>
      </w:r>
      <w:r w:rsidR="00C01486" w:rsidRPr="00D60120">
        <w:rPr>
          <w:rFonts w:hint="eastAsia"/>
          <w:b/>
          <w:color w:val="auto"/>
        </w:rPr>
        <w:t>。</w:t>
      </w:r>
      <w:r>
        <w:rPr>
          <w:rFonts w:hint="eastAsia"/>
          <w:b/>
          <w:color w:val="auto"/>
        </w:rPr>
        <w:t>另外一只产品，</w:t>
      </w:r>
      <w:r w:rsidRPr="00C44EDE">
        <w:rPr>
          <w:rFonts w:hint="eastAsia"/>
          <w:b/>
          <w:color w:val="auto"/>
        </w:rPr>
        <w:t>华泰柏瑞创新升级混合</w:t>
      </w:r>
      <w:r>
        <w:rPr>
          <w:rFonts w:hint="eastAsia"/>
          <w:b/>
          <w:color w:val="auto"/>
        </w:rPr>
        <w:t>基金，关注经济结构调整与转型，尤其重视</w:t>
      </w:r>
      <w:r>
        <w:rPr>
          <w:rFonts w:hint="eastAsia"/>
          <w:b/>
          <w:color w:val="auto"/>
        </w:rPr>
        <w:t>TMT</w:t>
      </w:r>
      <w:r w:rsidR="00807747">
        <w:rPr>
          <w:rFonts w:hint="eastAsia"/>
          <w:b/>
          <w:color w:val="auto"/>
        </w:rPr>
        <w:t>和</w:t>
      </w:r>
      <w:r w:rsidRPr="00921D38">
        <w:rPr>
          <w:rFonts w:hint="eastAsia"/>
          <w:b/>
          <w:color w:val="auto"/>
        </w:rPr>
        <w:t>与</w:t>
      </w:r>
      <w:r w:rsidRPr="00921D38">
        <w:rPr>
          <w:rFonts w:hint="eastAsia"/>
          <w:b/>
          <w:color w:val="auto"/>
        </w:rPr>
        <w:t>TMT</w:t>
      </w:r>
      <w:r w:rsidRPr="00921D38">
        <w:rPr>
          <w:rFonts w:hint="eastAsia"/>
          <w:b/>
          <w:color w:val="auto"/>
        </w:rPr>
        <w:t>行业融合的新兴产业和传统行业</w:t>
      </w:r>
      <w:r>
        <w:rPr>
          <w:rFonts w:hint="eastAsia"/>
          <w:b/>
          <w:color w:val="auto"/>
        </w:rPr>
        <w:t>，顺应政策大方向，同样</w:t>
      </w:r>
      <w:r w:rsidR="00B80097">
        <w:rPr>
          <w:rFonts w:hint="eastAsia"/>
          <w:b/>
          <w:color w:val="auto"/>
        </w:rPr>
        <w:t>可以</w:t>
      </w:r>
      <w:r>
        <w:rPr>
          <w:rFonts w:hint="eastAsia"/>
          <w:b/>
          <w:color w:val="auto"/>
        </w:rPr>
        <w:t>关注。</w:t>
      </w:r>
    </w:p>
    <w:p w:rsidR="00B10000" w:rsidRPr="00C01486" w:rsidRDefault="00C01486" w:rsidP="00C01486">
      <w:pPr>
        <w:widowControl/>
        <w:spacing w:after="120" w:line="240" w:lineRule="exact"/>
        <w:ind w:left="3430"/>
        <w:rPr>
          <w:rFonts w:ascii="楷体" w:eastAsia="楷体" w:hAnsi="楷体" w:cs="Times New Roman"/>
          <w:b/>
          <w:bCs/>
          <w:color w:val="0070C0"/>
          <w:kern w:val="0"/>
          <w:sz w:val="24"/>
          <w:szCs w:val="20"/>
          <w:lang w:val="en-GB"/>
        </w:rPr>
      </w:pPr>
      <w:r w:rsidRPr="00C01486">
        <w:rPr>
          <w:rFonts w:ascii="楷体" w:eastAsia="楷体" w:hAnsi="楷体" w:cs="Times New Roman" w:hint="eastAsia"/>
          <w:b/>
          <w:bCs/>
          <w:color w:val="0070C0"/>
          <w:kern w:val="0"/>
          <w:sz w:val="24"/>
          <w:szCs w:val="20"/>
          <w:lang w:val="en-GB"/>
        </w:rPr>
        <w:t>公</w:t>
      </w:r>
      <w:proofErr w:type="gramStart"/>
      <w:r w:rsidRPr="00C01486">
        <w:rPr>
          <w:rFonts w:ascii="楷体" w:eastAsia="楷体" w:hAnsi="楷体" w:cs="Times New Roman" w:hint="eastAsia"/>
          <w:b/>
          <w:bCs/>
          <w:color w:val="0070C0"/>
          <w:kern w:val="0"/>
          <w:sz w:val="24"/>
          <w:szCs w:val="20"/>
          <w:lang w:val="en-GB"/>
        </w:rPr>
        <w:t>募基金</w:t>
      </w:r>
      <w:proofErr w:type="gramEnd"/>
      <w:r w:rsidRPr="00C01486">
        <w:rPr>
          <w:rFonts w:ascii="楷体" w:eastAsia="楷体" w:hAnsi="楷体" w:cs="Times New Roman" w:hint="eastAsia"/>
          <w:b/>
          <w:bCs/>
          <w:color w:val="0070C0"/>
          <w:kern w:val="0"/>
          <w:sz w:val="24"/>
          <w:szCs w:val="20"/>
          <w:lang w:val="en-GB"/>
        </w:rPr>
        <w:t>双周发行概况</w:t>
      </w:r>
    </w:p>
    <w:p w:rsidR="00C371E6" w:rsidRDefault="00B67909" w:rsidP="00B10000">
      <w:pPr>
        <w:pStyle w:val="ab"/>
        <w:numPr>
          <w:ilvl w:val="4"/>
          <w:numId w:val="1"/>
        </w:numPr>
        <w:spacing w:after="163"/>
      </w:pPr>
      <w:r w:rsidRPr="00537779">
        <w:rPr>
          <w:rFonts w:ascii="楷体" w:eastAsia="楷体" w:hAnsi="楷体"/>
          <w:b/>
          <w:bCs/>
          <w:noProof/>
          <w:color w:val="0070C0"/>
          <w:sz w:val="24"/>
        </w:rPr>
        <w:pict>
          <v:shapetype id="_x0000_t202" coordsize="21600,21600" o:spt="202" path="m,l,21600r21600,l21600,xe">
            <v:stroke joinstyle="miter"/>
            <v:path gradientshapeok="t" o:connecttype="rect"/>
          </v:shapetype>
          <v:shape id="_x0000_s2054" type="#_x0000_t202" style="position:absolute;left:0;text-align:left;margin-left:0;margin-top:88.95pt;width:148.5pt;height:275.6pt;z-index:251658240;mso-width-relative:margin;mso-height-relative:margin" strokecolor="white [3212]" strokeweight="0">
            <v:stroke dashstyle="1 1" endcap="round"/>
            <v:textbox style="mso-next-textbox:#_x0000_s2054">
              <w:txbxContent>
                <w:p w:rsidR="00DD687B" w:rsidRPr="00635482" w:rsidRDefault="00DD687B" w:rsidP="00DD687B">
                  <w:pPr>
                    <w:rPr>
                      <w:rFonts w:ascii="楷体" w:eastAsia="楷体" w:hAnsi="楷体"/>
                      <w:b/>
                      <w:lang w:val="en-GB"/>
                    </w:rPr>
                  </w:pPr>
                  <w:proofErr w:type="gramStart"/>
                  <w:r w:rsidRPr="00635482">
                    <w:rPr>
                      <w:rFonts w:ascii="楷体" w:eastAsia="楷体" w:hAnsi="楷体"/>
                      <w:b/>
                      <w:lang w:val="en-GB"/>
                    </w:rPr>
                    <w:t>凯石工场</w:t>
                  </w:r>
                  <w:proofErr w:type="gramEnd"/>
                  <w:r w:rsidRPr="00635482">
                    <w:rPr>
                      <w:rFonts w:ascii="楷体" w:eastAsia="楷体" w:hAnsi="楷体"/>
                      <w:b/>
                      <w:lang w:val="en-GB"/>
                    </w:rPr>
                    <w:t>移动平台</w:t>
                  </w:r>
                  <w:r w:rsidRPr="00635482">
                    <w:rPr>
                      <w:rFonts w:ascii="楷体" w:eastAsia="楷体" w:hAnsi="楷体" w:hint="eastAsia"/>
                      <w:b/>
                      <w:lang w:val="en-GB"/>
                    </w:rPr>
                    <w:t>：</w:t>
                  </w:r>
                </w:p>
                <w:p w:rsidR="00DD687B" w:rsidRPr="00635482" w:rsidRDefault="00DD687B" w:rsidP="00DD687B">
                  <w:pPr>
                    <w:rPr>
                      <w:rFonts w:ascii="楷体" w:eastAsia="楷体" w:hAnsi="楷体"/>
                      <w:lang w:val="en-GB"/>
                    </w:rPr>
                  </w:pPr>
                </w:p>
                <w:p w:rsidR="00DD687B" w:rsidRPr="00635482" w:rsidRDefault="00DD687B" w:rsidP="00DD687B">
                  <w:r w:rsidRPr="00635482">
                    <w:rPr>
                      <w:rFonts w:ascii="楷体" w:eastAsia="楷体" w:hAnsi="楷体" w:hint="eastAsia"/>
                      <w:lang w:val="en-GB"/>
                    </w:rPr>
                    <w:t>官方微博：</w:t>
                  </w:r>
                </w:p>
                <w:p w:rsidR="00DD687B" w:rsidRPr="00635482" w:rsidRDefault="00DD687B" w:rsidP="00DD687B">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石财富工场</w:t>
                  </w:r>
                </w:p>
                <w:p w:rsidR="00DD687B" w:rsidRDefault="00DD687B" w:rsidP="00DD687B">
                  <w:r>
                    <w:rPr>
                      <w:rFonts w:hint="eastAsia"/>
                      <w:noProof/>
                    </w:rPr>
                    <w:drawing>
                      <wp:inline distT="0" distB="0" distL="0" distR="0">
                        <wp:extent cx="933450" cy="933450"/>
                        <wp:effectExtent l="19050" t="0" r="0" b="0"/>
                        <wp:docPr id="3"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DD687B" w:rsidRDefault="00DD687B" w:rsidP="00DD687B">
                  <w:pPr>
                    <w:rPr>
                      <w:rFonts w:ascii="楷体" w:eastAsia="楷体" w:hAnsi="楷体"/>
                      <w:b/>
                      <w:lang w:val="en-GB"/>
                    </w:rPr>
                  </w:pPr>
                </w:p>
                <w:p w:rsidR="00DD687B" w:rsidRPr="00635482" w:rsidRDefault="00DD687B" w:rsidP="00DD687B">
                  <w:pPr>
                    <w:rPr>
                      <w:rFonts w:ascii="楷体" w:eastAsia="楷体" w:hAnsi="楷体"/>
                      <w:lang w:val="en-GB"/>
                    </w:rPr>
                  </w:pPr>
                  <w:r w:rsidRPr="00635482">
                    <w:rPr>
                      <w:rFonts w:ascii="楷体" w:eastAsia="楷体" w:hAnsi="楷体" w:hint="eastAsia"/>
                      <w:lang w:val="en-GB"/>
                    </w:rPr>
                    <w:t>官方微信：</w:t>
                  </w:r>
                </w:p>
                <w:p w:rsidR="00DD687B" w:rsidRPr="00635482" w:rsidRDefault="00DD687B" w:rsidP="00DD687B">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石财富知音订阅号</w:t>
                  </w:r>
                </w:p>
                <w:p w:rsidR="00DD687B" w:rsidRDefault="00DD687B" w:rsidP="00DD687B">
                  <w:r w:rsidRPr="00635482">
                    <w:rPr>
                      <w:rFonts w:ascii="楷体" w:eastAsia="楷体" w:hAnsi="楷体"/>
                      <w:b/>
                      <w:noProof/>
                    </w:rPr>
                    <w:drawing>
                      <wp:inline distT="0" distB="0" distL="0" distR="0">
                        <wp:extent cx="952500" cy="952500"/>
                        <wp:effectExtent l="19050" t="0" r="0" b="0"/>
                        <wp:docPr id="5"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C01486" w:rsidRPr="00CE42E6">
        <w:t>2014</w:t>
      </w:r>
      <w:r w:rsidR="00C01486" w:rsidRPr="00CE42E6">
        <w:rPr>
          <w:rFonts w:hint="eastAsia"/>
        </w:rPr>
        <w:t>年</w:t>
      </w:r>
      <w:r w:rsidR="00C06F34" w:rsidRPr="00CE42E6">
        <w:rPr>
          <w:rFonts w:hint="eastAsia"/>
        </w:rPr>
        <w:t>3</w:t>
      </w:r>
      <w:r w:rsidR="00A264D4">
        <w:rPr>
          <w:rFonts w:hint="eastAsia"/>
        </w:rPr>
        <w:t>月下</w:t>
      </w:r>
      <w:r w:rsidR="00C01486" w:rsidRPr="00CE42E6">
        <w:rPr>
          <w:rFonts w:hint="eastAsia"/>
        </w:rPr>
        <w:t>半月（</w:t>
      </w:r>
      <w:r w:rsidR="00C01486" w:rsidRPr="00CE42E6">
        <w:t>2014.</w:t>
      </w:r>
      <w:r w:rsidR="00C06F34" w:rsidRPr="00CE42E6">
        <w:rPr>
          <w:rFonts w:hint="eastAsia"/>
        </w:rPr>
        <w:t>3</w:t>
      </w:r>
      <w:r w:rsidR="00C01486" w:rsidRPr="00CE42E6">
        <w:t>.1</w:t>
      </w:r>
      <w:r w:rsidR="00A264D4">
        <w:rPr>
          <w:rFonts w:hint="eastAsia"/>
        </w:rPr>
        <w:t>6</w:t>
      </w:r>
      <w:r w:rsidR="00C01486" w:rsidRPr="00CE42E6">
        <w:rPr>
          <w:rFonts w:hint="eastAsia"/>
        </w:rPr>
        <w:t>至</w:t>
      </w:r>
      <w:r w:rsidR="00C01486" w:rsidRPr="00CE42E6">
        <w:t>2014.</w:t>
      </w:r>
      <w:r w:rsidR="00C06F34" w:rsidRPr="00CE42E6">
        <w:rPr>
          <w:rFonts w:hint="eastAsia"/>
        </w:rPr>
        <w:t>3</w:t>
      </w:r>
      <w:r w:rsidR="00A264D4">
        <w:t>.</w:t>
      </w:r>
      <w:r w:rsidR="00A264D4">
        <w:rPr>
          <w:rFonts w:hint="eastAsia"/>
        </w:rPr>
        <w:t>31</w:t>
      </w:r>
      <w:r w:rsidR="00C01486" w:rsidRPr="00CE42E6">
        <w:rPr>
          <w:rFonts w:hint="eastAsia"/>
        </w:rPr>
        <w:t>）</w:t>
      </w:r>
      <w:r w:rsidR="00DB78B5">
        <w:rPr>
          <w:rFonts w:hint="eastAsia"/>
        </w:rPr>
        <w:t>基金发行设立热情依旧，</w:t>
      </w:r>
      <w:r w:rsidR="00C371E6">
        <w:rPr>
          <w:rFonts w:hint="eastAsia"/>
        </w:rPr>
        <w:t>截止</w:t>
      </w:r>
      <w:r w:rsidR="00C371E6">
        <w:rPr>
          <w:rFonts w:hint="eastAsia"/>
        </w:rPr>
        <w:t>4</w:t>
      </w:r>
      <w:r w:rsidR="00C371E6">
        <w:rPr>
          <w:rFonts w:hint="eastAsia"/>
        </w:rPr>
        <w:t>月</w:t>
      </w:r>
      <w:r w:rsidR="00C371E6">
        <w:rPr>
          <w:rFonts w:hint="eastAsia"/>
        </w:rPr>
        <w:t>8</w:t>
      </w:r>
      <w:r w:rsidR="00C371E6">
        <w:rPr>
          <w:rFonts w:hint="eastAsia"/>
        </w:rPr>
        <w:t>日，共有</w:t>
      </w:r>
      <w:r w:rsidR="00C371E6">
        <w:rPr>
          <w:rFonts w:hint="eastAsia"/>
        </w:rPr>
        <w:t>24</w:t>
      </w:r>
      <w:r w:rsidR="00C371E6">
        <w:rPr>
          <w:rFonts w:hint="eastAsia"/>
        </w:rPr>
        <w:t>只产品正在发行，且以投资股票市场的权益类产品为主，其中股票型和混合型基金各</w:t>
      </w:r>
      <w:r w:rsidR="00C371E6">
        <w:rPr>
          <w:rFonts w:hint="eastAsia"/>
        </w:rPr>
        <w:t>10</w:t>
      </w:r>
      <w:r w:rsidR="00C371E6">
        <w:rPr>
          <w:rFonts w:hint="eastAsia"/>
        </w:rPr>
        <w:t>只，另有</w:t>
      </w:r>
      <w:r w:rsidR="00C371E6">
        <w:rPr>
          <w:rFonts w:hint="eastAsia"/>
        </w:rPr>
        <w:t>4</w:t>
      </w:r>
      <w:r w:rsidR="00C371E6">
        <w:rPr>
          <w:rFonts w:hint="eastAsia"/>
        </w:rPr>
        <w:t>只债券型基金产品</w:t>
      </w:r>
      <w:r w:rsidR="004E032B">
        <w:rPr>
          <w:rFonts w:hint="eastAsia"/>
        </w:rPr>
        <w:t>，可见基金公司对于</w:t>
      </w:r>
      <w:r w:rsidR="009314D1">
        <w:rPr>
          <w:rFonts w:hint="eastAsia"/>
        </w:rPr>
        <w:t>股市</w:t>
      </w:r>
      <w:r w:rsidR="004E032B">
        <w:rPr>
          <w:rFonts w:hint="eastAsia"/>
        </w:rPr>
        <w:t>后市表现普遍乐观</w:t>
      </w:r>
      <w:r w:rsidR="00C371E6">
        <w:rPr>
          <w:rFonts w:hint="eastAsia"/>
        </w:rPr>
        <w:t>。</w:t>
      </w:r>
      <w:r w:rsidR="008D6A8F">
        <w:rPr>
          <w:rFonts w:hint="eastAsia"/>
        </w:rPr>
        <w:t>新成立的产品方面，</w:t>
      </w:r>
      <w:r w:rsidR="004E032B">
        <w:rPr>
          <w:rFonts w:hint="eastAsia"/>
        </w:rPr>
        <w:t>3</w:t>
      </w:r>
      <w:r w:rsidR="004E032B">
        <w:rPr>
          <w:rFonts w:hint="eastAsia"/>
        </w:rPr>
        <w:t>月下半月共有</w:t>
      </w:r>
      <w:r w:rsidR="004E032B">
        <w:rPr>
          <w:rFonts w:hint="eastAsia"/>
        </w:rPr>
        <w:t>20</w:t>
      </w:r>
      <w:r w:rsidR="004E032B">
        <w:rPr>
          <w:rFonts w:hint="eastAsia"/>
        </w:rPr>
        <w:t>只</w:t>
      </w:r>
      <w:r w:rsidR="00C371E6">
        <w:rPr>
          <w:rFonts w:hint="eastAsia"/>
        </w:rPr>
        <w:t>基金完成募集并设立，其中股票型基金</w:t>
      </w:r>
      <w:r w:rsidR="004E032B">
        <w:rPr>
          <w:rFonts w:hint="eastAsia"/>
        </w:rPr>
        <w:t>3</w:t>
      </w:r>
      <w:r w:rsidR="00C371E6">
        <w:rPr>
          <w:rFonts w:hint="eastAsia"/>
        </w:rPr>
        <w:t>只，合计募资规模</w:t>
      </w:r>
      <w:r w:rsidR="00C371E6">
        <w:rPr>
          <w:rFonts w:hint="eastAsia"/>
        </w:rPr>
        <w:t>3</w:t>
      </w:r>
      <w:r w:rsidR="004E032B">
        <w:rPr>
          <w:rFonts w:hint="eastAsia"/>
        </w:rPr>
        <w:t>1</w:t>
      </w:r>
      <w:r w:rsidR="00C371E6">
        <w:rPr>
          <w:rFonts w:hint="eastAsia"/>
        </w:rPr>
        <w:t>.</w:t>
      </w:r>
      <w:r w:rsidR="004E032B">
        <w:rPr>
          <w:rFonts w:hint="eastAsia"/>
        </w:rPr>
        <w:t>99</w:t>
      </w:r>
      <w:r w:rsidR="00C371E6">
        <w:rPr>
          <w:rFonts w:hint="eastAsia"/>
        </w:rPr>
        <w:t>亿元；混合型基金</w:t>
      </w:r>
      <w:r w:rsidR="004E032B">
        <w:rPr>
          <w:rFonts w:hint="eastAsia"/>
        </w:rPr>
        <w:t>7</w:t>
      </w:r>
      <w:r w:rsidR="00C371E6">
        <w:rPr>
          <w:rFonts w:hint="eastAsia"/>
        </w:rPr>
        <w:t>只，募资规模</w:t>
      </w:r>
      <w:r w:rsidR="004E032B">
        <w:rPr>
          <w:rFonts w:hint="eastAsia"/>
        </w:rPr>
        <w:t>71.31</w:t>
      </w:r>
      <w:r w:rsidR="00C371E6">
        <w:rPr>
          <w:rFonts w:hint="eastAsia"/>
        </w:rPr>
        <w:t>亿元；债券型基金</w:t>
      </w:r>
      <w:r w:rsidR="004E032B">
        <w:rPr>
          <w:rFonts w:hint="eastAsia"/>
        </w:rPr>
        <w:t>5</w:t>
      </w:r>
      <w:r w:rsidR="00C371E6">
        <w:rPr>
          <w:rFonts w:hint="eastAsia"/>
        </w:rPr>
        <w:t>只，募得资金</w:t>
      </w:r>
      <w:r w:rsidR="004E032B">
        <w:rPr>
          <w:rFonts w:hint="eastAsia"/>
        </w:rPr>
        <w:t>17.82</w:t>
      </w:r>
      <w:r w:rsidR="00C371E6">
        <w:rPr>
          <w:rFonts w:hint="eastAsia"/>
        </w:rPr>
        <w:t>亿元；</w:t>
      </w:r>
      <w:r w:rsidR="004E032B">
        <w:rPr>
          <w:rFonts w:hint="eastAsia"/>
        </w:rPr>
        <w:t>货币市场</w:t>
      </w:r>
      <w:r w:rsidR="00C371E6">
        <w:rPr>
          <w:rFonts w:hint="eastAsia"/>
        </w:rPr>
        <w:t>基金</w:t>
      </w:r>
      <w:r w:rsidR="004E032B">
        <w:rPr>
          <w:rFonts w:hint="eastAsia"/>
        </w:rPr>
        <w:t>5</w:t>
      </w:r>
      <w:r w:rsidR="00C371E6">
        <w:rPr>
          <w:rFonts w:hint="eastAsia"/>
        </w:rPr>
        <w:t>只，募得资金</w:t>
      </w:r>
      <w:r w:rsidR="004E032B">
        <w:rPr>
          <w:rFonts w:hint="eastAsia"/>
        </w:rPr>
        <w:t>65.46</w:t>
      </w:r>
      <w:r w:rsidR="00C371E6">
        <w:rPr>
          <w:rFonts w:hint="eastAsia"/>
        </w:rPr>
        <w:t>亿元</w:t>
      </w:r>
      <w:r w:rsidR="009C6B89">
        <w:rPr>
          <w:rFonts w:hint="eastAsia"/>
        </w:rPr>
        <w:t>，具体可参见图表</w:t>
      </w:r>
      <w:r w:rsidR="009C6B89">
        <w:rPr>
          <w:rFonts w:hint="eastAsia"/>
        </w:rPr>
        <w:t>1</w:t>
      </w:r>
      <w:r w:rsidR="00C371E6">
        <w:rPr>
          <w:rFonts w:hint="eastAsia"/>
        </w:rPr>
        <w:t>。</w:t>
      </w:r>
    </w:p>
    <w:p w:rsidR="00C371E6" w:rsidRDefault="009C6B89" w:rsidP="00B10000">
      <w:pPr>
        <w:pStyle w:val="ab"/>
        <w:numPr>
          <w:ilvl w:val="4"/>
          <w:numId w:val="1"/>
        </w:numPr>
        <w:spacing w:after="163"/>
      </w:pPr>
      <w:r>
        <w:rPr>
          <w:rFonts w:hint="eastAsia"/>
        </w:rPr>
        <w:t>另外，</w:t>
      </w:r>
      <w:proofErr w:type="gramStart"/>
      <w:r w:rsidR="00DD687B" w:rsidRPr="00CE42E6">
        <w:rPr>
          <w:rFonts w:hint="eastAsia"/>
        </w:rPr>
        <w:t>据财汇</w:t>
      </w:r>
      <w:proofErr w:type="gramEnd"/>
      <w:r w:rsidR="00DD687B" w:rsidRPr="00CE42E6">
        <w:rPr>
          <w:rFonts w:hint="eastAsia"/>
        </w:rPr>
        <w:t>数据库统计显示，</w:t>
      </w:r>
      <w:r w:rsidR="00DD687B" w:rsidRPr="00CE42E6">
        <w:rPr>
          <w:rFonts w:hint="eastAsia"/>
        </w:rPr>
        <w:t>3</w:t>
      </w:r>
      <w:r w:rsidR="003F4FE1">
        <w:rPr>
          <w:rFonts w:hint="eastAsia"/>
        </w:rPr>
        <w:t>月下</w:t>
      </w:r>
      <w:r w:rsidR="00DD687B" w:rsidRPr="00CE42E6">
        <w:rPr>
          <w:rFonts w:hint="eastAsia"/>
        </w:rPr>
        <w:t>半月公告前期递交申请材料的共</w:t>
      </w:r>
      <w:r w:rsidR="003F4FE1">
        <w:rPr>
          <w:rFonts w:hint="eastAsia"/>
        </w:rPr>
        <w:t>21</w:t>
      </w:r>
      <w:r w:rsidR="00DD687B" w:rsidRPr="00CE42E6">
        <w:rPr>
          <w:rFonts w:hint="eastAsia"/>
        </w:rPr>
        <w:t>只基金产品获得受理</w:t>
      </w:r>
      <w:r w:rsidR="003F4FE1">
        <w:rPr>
          <w:rFonts w:hint="eastAsia"/>
        </w:rPr>
        <w:t>、</w:t>
      </w:r>
      <w:r w:rsidR="003F4FE1">
        <w:rPr>
          <w:rFonts w:hint="eastAsia"/>
        </w:rPr>
        <w:t>1</w:t>
      </w:r>
      <w:r w:rsidR="003F4FE1">
        <w:rPr>
          <w:rFonts w:hint="eastAsia"/>
        </w:rPr>
        <w:t>只已核准</w:t>
      </w:r>
      <w:r w:rsidR="00DD687B" w:rsidRPr="00CE42E6">
        <w:rPr>
          <w:rFonts w:hint="eastAsia"/>
        </w:rPr>
        <w:t>。具体来看，获得受理的产品种类丰富，其中股票型</w:t>
      </w:r>
      <w:r w:rsidR="009E37B1">
        <w:rPr>
          <w:rFonts w:hint="eastAsia"/>
        </w:rPr>
        <w:t>5</w:t>
      </w:r>
      <w:r w:rsidR="00DD687B" w:rsidRPr="00CE42E6">
        <w:rPr>
          <w:rFonts w:hint="eastAsia"/>
        </w:rPr>
        <w:t>只、混合型</w:t>
      </w:r>
      <w:r w:rsidR="009E37B1">
        <w:rPr>
          <w:rFonts w:hint="eastAsia"/>
        </w:rPr>
        <w:t>7</w:t>
      </w:r>
      <w:r w:rsidR="00DD687B" w:rsidRPr="00CE42E6">
        <w:rPr>
          <w:rFonts w:hint="eastAsia"/>
        </w:rPr>
        <w:t>只、债券型</w:t>
      </w:r>
      <w:r w:rsidR="009E37B1">
        <w:rPr>
          <w:rFonts w:hint="eastAsia"/>
        </w:rPr>
        <w:t>4</w:t>
      </w:r>
      <w:r w:rsidR="00DD687B" w:rsidRPr="00CE42E6">
        <w:rPr>
          <w:rFonts w:hint="eastAsia"/>
        </w:rPr>
        <w:t>只、货币型</w:t>
      </w:r>
      <w:r w:rsidR="009E37B1">
        <w:rPr>
          <w:rFonts w:hint="eastAsia"/>
        </w:rPr>
        <w:t>5</w:t>
      </w:r>
      <w:r w:rsidR="00DD687B" w:rsidRPr="00CE42E6">
        <w:rPr>
          <w:rFonts w:hint="eastAsia"/>
        </w:rPr>
        <w:t>只</w:t>
      </w:r>
      <w:r w:rsidR="009E37B1">
        <w:rPr>
          <w:rFonts w:hint="eastAsia"/>
        </w:rPr>
        <w:t>，而这</w:t>
      </w:r>
      <w:r w:rsidR="009E37B1">
        <w:rPr>
          <w:rFonts w:hint="eastAsia"/>
        </w:rPr>
        <w:t>5</w:t>
      </w:r>
      <w:r w:rsidR="009E37B1">
        <w:rPr>
          <w:rFonts w:hint="eastAsia"/>
        </w:rPr>
        <w:t>只股票型基金则全部为指数型产品。这些产品中，景顺长城基金共有</w:t>
      </w:r>
      <w:r w:rsidR="009E37B1">
        <w:rPr>
          <w:rFonts w:hint="eastAsia"/>
        </w:rPr>
        <w:t>3</w:t>
      </w:r>
      <w:r w:rsidR="009E37B1">
        <w:rPr>
          <w:rFonts w:hint="eastAsia"/>
        </w:rPr>
        <w:t>只指数型产品获得受理，</w:t>
      </w:r>
      <w:proofErr w:type="gramStart"/>
      <w:r w:rsidR="009E37B1">
        <w:rPr>
          <w:rFonts w:hint="eastAsia"/>
        </w:rPr>
        <w:t>海富通和嘉实</w:t>
      </w:r>
      <w:proofErr w:type="gramEnd"/>
      <w:r w:rsidR="009E37B1">
        <w:rPr>
          <w:rFonts w:hint="eastAsia"/>
        </w:rPr>
        <w:t>基金则分别有</w:t>
      </w:r>
      <w:r w:rsidR="009E37B1">
        <w:rPr>
          <w:rFonts w:hint="eastAsia"/>
        </w:rPr>
        <w:t>2</w:t>
      </w:r>
      <w:r w:rsidR="009E37B1">
        <w:rPr>
          <w:rFonts w:hint="eastAsia"/>
        </w:rPr>
        <w:t>只产品获得受理</w:t>
      </w:r>
      <w:r w:rsidR="00DD687B" w:rsidRPr="00CE42E6">
        <w:rPr>
          <w:rFonts w:hint="eastAsia"/>
        </w:rPr>
        <w:t>。</w:t>
      </w:r>
      <w:r w:rsidR="003812C1">
        <w:rPr>
          <w:rFonts w:hint="eastAsia"/>
        </w:rPr>
        <w:t>值得关注的是，</w:t>
      </w:r>
      <w:proofErr w:type="gramStart"/>
      <w:r w:rsidR="003812C1">
        <w:rPr>
          <w:rFonts w:hint="eastAsia"/>
        </w:rPr>
        <w:t>券商系公募基金</w:t>
      </w:r>
      <w:proofErr w:type="gramEnd"/>
      <w:r w:rsidR="003812C1" w:rsidRPr="003812C1">
        <w:rPr>
          <w:rFonts w:hint="eastAsia"/>
        </w:rPr>
        <w:t>东方红新</w:t>
      </w:r>
      <w:proofErr w:type="gramStart"/>
      <w:r w:rsidR="003812C1" w:rsidRPr="003812C1">
        <w:rPr>
          <w:rFonts w:hint="eastAsia"/>
        </w:rPr>
        <w:t>睿</w:t>
      </w:r>
      <w:proofErr w:type="gramEnd"/>
      <w:r w:rsidR="003812C1" w:rsidRPr="003812C1">
        <w:rPr>
          <w:rFonts w:hint="eastAsia"/>
        </w:rPr>
        <w:t>1</w:t>
      </w:r>
      <w:r w:rsidR="003812C1" w:rsidRPr="003812C1">
        <w:rPr>
          <w:rFonts w:hint="eastAsia"/>
        </w:rPr>
        <w:t>号灵活配置定期开放混合型</w:t>
      </w:r>
      <w:r w:rsidR="003812C1">
        <w:rPr>
          <w:rFonts w:hint="eastAsia"/>
        </w:rPr>
        <w:t>也在公告获得受理的产品行列之内</w:t>
      </w:r>
      <w:r w:rsidR="009C6F68">
        <w:rPr>
          <w:rFonts w:hint="eastAsia"/>
        </w:rPr>
        <w:t>。</w:t>
      </w:r>
    </w:p>
    <w:p w:rsidR="00B10000" w:rsidRPr="00CE42E6" w:rsidRDefault="009C6F68" w:rsidP="00B10000">
      <w:pPr>
        <w:pStyle w:val="ab"/>
        <w:numPr>
          <w:ilvl w:val="4"/>
          <w:numId w:val="1"/>
        </w:numPr>
        <w:spacing w:after="163"/>
      </w:pPr>
      <w:r>
        <w:rPr>
          <w:rFonts w:hint="eastAsia"/>
        </w:rPr>
        <w:t>从近期发行设立产品的投资方向上来看，各类主题型产品充斥着整个权益类基金市场</w:t>
      </w:r>
      <w:r w:rsidR="00C01486" w:rsidRPr="00CE42E6">
        <w:rPr>
          <w:rFonts w:hint="eastAsia"/>
        </w:rPr>
        <w:t>。</w:t>
      </w:r>
      <w:r w:rsidR="00FF5223">
        <w:rPr>
          <w:rFonts w:hint="eastAsia"/>
        </w:rPr>
        <w:t>而具体投资主题方面，</w:t>
      </w:r>
      <w:r w:rsidR="009314D1">
        <w:rPr>
          <w:rFonts w:hint="eastAsia"/>
        </w:rPr>
        <w:t>主要沿着“两会”提及的政策方向展开，</w:t>
      </w:r>
      <w:r w:rsidR="00410EFB">
        <w:rPr>
          <w:rFonts w:hint="eastAsia"/>
        </w:rPr>
        <w:t>涉及大国新经济、节能环保、信息安全、军工等等，例如，</w:t>
      </w:r>
      <w:r w:rsidR="00410EFB" w:rsidRPr="00410EFB">
        <w:rPr>
          <w:rFonts w:hint="eastAsia"/>
        </w:rPr>
        <w:t>华安大国新经济股票</w:t>
      </w:r>
      <w:r w:rsidR="00410EFB" w:rsidRPr="00A322C5">
        <w:rPr>
          <w:rFonts w:hint="eastAsia"/>
        </w:rPr>
        <w:t>、光大银发商机主题股票、</w:t>
      </w:r>
      <w:r w:rsidR="00ED4DC8" w:rsidRPr="00A322C5">
        <w:rPr>
          <w:rFonts w:hint="eastAsia"/>
        </w:rPr>
        <w:t>前海开源中证军工指数、华润元大信息传媒科技股票、广发新动力股票等等。</w:t>
      </w:r>
      <w:r w:rsidR="00322F07" w:rsidRPr="00A322C5">
        <w:rPr>
          <w:rFonts w:hint="eastAsia"/>
        </w:rPr>
        <w:t>对于未来股票市场行情，我们认为，</w:t>
      </w:r>
      <w:r w:rsidR="00322F07" w:rsidRPr="00A322C5">
        <w:rPr>
          <w:rFonts w:ascii="楷体" w:eastAsia="楷体" w:hAnsi="楷体" w:hint="eastAsia"/>
          <w:color w:val="auto"/>
        </w:rPr>
        <w:t>在2014年宏观经济从过去高速增长阶段转向</w:t>
      </w:r>
      <w:r w:rsidR="00322F07" w:rsidRPr="002F77D4">
        <w:rPr>
          <w:rFonts w:ascii="楷体" w:eastAsia="楷体" w:hAnsi="楷体" w:hint="eastAsia"/>
          <w:color w:val="auto"/>
        </w:rPr>
        <w:t>以效率提升为主的结构性增长机会的情况下，</w:t>
      </w:r>
      <w:r w:rsidR="00322F07" w:rsidRPr="00B14C9E">
        <w:rPr>
          <w:rFonts w:ascii="楷体" w:eastAsia="楷体" w:hAnsi="楷体" w:hint="eastAsia"/>
          <w:color w:val="auto"/>
        </w:rPr>
        <w:t>市场大幅上涨</w:t>
      </w:r>
      <w:r w:rsidR="00322F07">
        <w:rPr>
          <w:rFonts w:ascii="楷体" w:eastAsia="楷体" w:hAnsi="楷体" w:hint="eastAsia"/>
          <w:color w:val="auto"/>
        </w:rPr>
        <w:t>的</w:t>
      </w:r>
      <w:r w:rsidR="00322F07" w:rsidRPr="00B14C9E">
        <w:rPr>
          <w:rFonts w:ascii="楷体" w:eastAsia="楷体" w:hAnsi="楷体" w:hint="eastAsia"/>
          <w:color w:val="auto"/>
        </w:rPr>
        <w:t>难度较大，投资机会可能依然是结构性的</w:t>
      </w:r>
      <w:r w:rsidR="00814EEF">
        <w:rPr>
          <w:rFonts w:ascii="楷体" w:eastAsia="楷体" w:hAnsi="楷体" w:hint="eastAsia"/>
          <w:color w:val="auto"/>
        </w:rPr>
        <w:t>，</w:t>
      </w:r>
      <w:r w:rsidR="00322F07">
        <w:rPr>
          <w:rFonts w:ascii="楷体" w:eastAsia="楷体" w:hAnsi="楷体" w:hint="eastAsia"/>
          <w:color w:val="auto"/>
        </w:rPr>
        <w:t>而经济</w:t>
      </w:r>
      <w:r w:rsidR="00322F07" w:rsidRPr="00D673AE">
        <w:rPr>
          <w:rFonts w:ascii="楷体" w:eastAsia="楷体" w:hAnsi="楷体" w:hint="eastAsia"/>
          <w:color w:val="auto"/>
        </w:rPr>
        <w:t>转型与改革</w:t>
      </w:r>
      <w:r w:rsidR="00322F07">
        <w:rPr>
          <w:rFonts w:ascii="楷体" w:eastAsia="楷体" w:hAnsi="楷体" w:hint="eastAsia"/>
          <w:color w:val="auto"/>
        </w:rPr>
        <w:t>将会</w:t>
      </w:r>
      <w:r w:rsidR="00322F07" w:rsidRPr="002F77D4">
        <w:rPr>
          <w:rFonts w:ascii="楷体" w:eastAsia="楷体" w:hAnsi="楷体" w:hint="eastAsia"/>
          <w:color w:val="auto"/>
        </w:rPr>
        <w:t>为市场注入新的活力</w:t>
      </w:r>
      <w:r w:rsidR="00814EEF">
        <w:rPr>
          <w:rFonts w:ascii="楷体" w:eastAsia="楷体" w:hAnsi="楷体" w:hint="eastAsia"/>
          <w:color w:val="auto"/>
        </w:rPr>
        <w:t>。</w:t>
      </w:r>
      <w:r w:rsidR="002B694D">
        <w:rPr>
          <w:rFonts w:ascii="楷体" w:eastAsia="楷体" w:hAnsi="楷体" w:hint="eastAsia"/>
          <w:color w:val="auto"/>
        </w:rPr>
        <w:t>目前</w:t>
      </w:r>
      <w:r w:rsidR="00E93078">
        <w:rPr>
          <w:rFonts w:ascii="楷体" w:eastAsia="楷体" w:hAnsi="楷体" w:hint="eastAsia"/>
          <w:color w:val="auto"/>
        </w:rPr>
        <w:t>新设立的基金</w:t>
      </w:r>
      <w:r w:rsidR="002B694D">
        <w:rPr>
          <w:rFonts w:ascii="楷体" w:eastAsia="楷体" w:hAnsi="楷体" w:hint="eastAsia"/>
          <w:color w:val="auto"/>
        </w:rPr>
        <w:t>频繁</w:t>
      </w:r>
      <w:r w:rsidR="00E93078">
        <w:rPr>
          <w:rFonts w:ascii="楷体" w:eastAsia="楷体" w:hAnsi="楷体" w:hint="eastAsia"/>
          <w:color w:val="auto"/>
        </w:rPr>
        <w:t>以</w:t>
      </w:r>
      <w:r w:rsidR="00322F07" w:rsidRPr="002F77D4">
        <w:rPr>
          <w:rFonts w:ascii="楷体" w:eastAsia="楷体" w:hAnsi="楷体" w:hint="eastAsia"/>
          <w:color w:val="auto"/>
        </w:rPr>
        <w:t>符合新经济发展方向、</w:t>
      </w:r>
      <w:r w:rsidR="00814EEF">
        <w:rPr>
          <w:rFonts w:ascii="楷体" w:eastAsia="楷体" w:hAnsi="楷体" w:hint="eastAsia"/>
          <w:color w:val="auto"/>
        </w:rPr>
        <w:t>受益于转型改革</w:t>
      </w:r>
      <w:r w:rsidR="00E93078">
        <w:rPr>
          <w:rFonts w:ascii="楷体" w:eastAsia="楷体" w:hAnsi="楷体" w:hint="eastAsia"/>
          <w:color w:val="auto"/>
        </w:rPr>
        <w:t>的</w:t>
      </w:r>
      <w:r w:rsidR="00322F07" w:rsidRPr="002F77D4">
        <w:rPr>
          <w:rFonts w:ascii="楷体" w:eastAsia="楷体" w:hAnsi="楷体" w:hint="eastAsia"/>
          <w:color w:val="auto"/>
        </w:rPr>
        <w:t>行业</w:t>
      </w:r>
      <w:r w:rsidR="00322F07">
        <w:rPr>
          <w:rFonts w:ascii="楷体" w:eastAsia="楷体" w:hAnsi="楷体" w:hint="eastAsia"/>
          <w:color w:val="auto"/>
        </w:rPr>
        <w:t>领域</w:t>
      </w:r>
      <w:r w:rsidR="00E93078">
        <w:rPr>
          <w:rFonts w:ascii="楷体" w:eastAsia="楷体" w:hAnsi="楷体" w:hint="eastAsia"/>
          <w:color w:val="auto"/>
        </w:rPr>
        <w:t>作为主要投资方向</w:t>
      </w:r>
      <w:r w:rsidR="00814EEF">
        <w:rPr>
          <w:rFonts w:ascii="楷体" w:eastAsia="楷体" w:hAnsi="楷体" w:hint="eastAsia"/>
          <w:color w:val="auto"/>
        </w:rPr>
        <w:t>，从大趋势上来讲，比较契合当前市场环境，但是具体获益情况</w:t>
      </w:r>
      <w:r w:rsidR="002B694D">
        <w:rPr>
          <w:rFonts w:ascii="楷体" w:eastAsia="楷体" w:hAnsi="楷体" w:hint="eastAsia"/>
          <w:color w:val="auto"/>
        </w:rPr>
        <w:t>还</w:t>
      </w:r>
      <w:r w:rsidR="00814EEF">
        <w:rPr>
          <w:rFonts w:ascii="楷体" w:eastAsia="楷体" w:hAnsi="楷体" w:hint="eastAsia"/>
          <w:color w:val="auto"/>
        </w:rPr>
        <w:t>将取决于</w:t>
      </w:r>
      <w:r w:rsidR="002B694D">
        <w:rPr>
          <w:rFonts w:ascii="楷体" w:eastAsia="楷体" w:hAnsi="楷体" w:hint="eastAsia"/>
          <w:color w:val="auto"/>
        </w:rPr>
        <w:t>各自对于相应领域个股的选择能力以及在大盘震荡波动中的灵活性。</w:t>
      </w:r>
    </w:p>
    <w:p w:rsidR="00B779DE" w:rsidRPr="00C01486" w:rsidRDefault="00B779DE" w:rsidP="0004431B">
      <w:pPr>
        <w:pStyle w:val="ab"/>
        <w:spacing w:after="163"/>
        <w:ind w:left="0"/>
      </w:pPr>
    </w:p>
    <w:tbl>
      <w:tblPr>
        <w:tblW w:w="11057" w:type="dxa"/>
        <w:jc w:val="center"/>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626"/>
        <w:gridCol w:w="2068"/>
        <w:gridCol w:w="992"/>
        <w:gridCol w:w="850"/>
        <w:gridCol w:w="851"/>
        <w:gridCol w:w="142"/>
        <w:gridCol w:w="625"/>
        <w:gridCol w:w="2210"/>
        <w:gridCol w:w="992"/>
        <w:gridCol w:w="850"/>
        <w:gridCol w:w="851"/>
      </w:tblGrid>
      <w:tr w:rsidR="00C01486" w:rsidTr="00B779DE">
        <w:trPr>
          <w:cantSplit/>
          <w:trHeight w:val="335"/>
          <w:jc w:val="center"/>
        </w:trPr>
        <w:tc>
          <w:tcPr>
            <w:tcW w:w="11057" w:type="dxa"/>
            <w:gridSpan w:val="11"/>
            <w:tcBorders>
              <w:bottom w:val="single" w:sz="6" w:space="0" w:color="FF6600"/>
            </w:tcBorders>
            <w:shd w:val="clear" w:color="auto" w:fill="auto"/>
            <w:vAlign w:val="center"/>
          </w:tcPr>
          <w:p w:rsidR="00C01486" w:rsidRPr="0007259C" w:rsidRDefault="00C01486" w:rsidP="002B694D">
            <w:pPr>
              <w:pStyle w:val="SubTitleLargeTable"/>
              <w:pBdr>
                <w:top w:val="none" w:sz="0" w:space="0" w:color="auto"/>
              </w:pBdr>
              <w:rPr>
                <w:rFonts w:ascii="宋体" w:eastAsia="宋体" w:hAnsi="宋体"/>
                <w:b w:val="0"/>
              </w:rPr>
            </w:pPr>
            <w:r w:rsidRPr="00656031">
              <w:rPr>
                <w:color w:val="FF6600"/>
              </w:rPr>
              <w:lastRenderedPageBreak/>
              <w:t>图表</w:t>
            </w:r>
            <w:r w:rsidRPr="00656031">
              <w:rPr>
                <w:rFonts w:hint="eastAsia"/>
                <w:color w:val="FF6600"/>
              </w:rPr>
              <w:t>1</w:t>
            </w:r>
            <w:r w:rsidRPr="00656031">
              <w:rPr>
                <w:rFonts w:hint="eastAsia"/>
                <w:color w:val="FF6600"/>
              </w:rPr>
              <w:t>：</w:t>
            </w:r>
            <w:r w:rsidRPr="006967F1">
              <w:rPr>
                <w:rFonts w:hint="eastAsia"/>
                <w:color w:val="FF6600"/>
              </w:rPr>
              <w:t>在发基金产品列表（截止</w:t>
            </w:r>
            <w:r w:rsidRPr="006967F1">
              <w:rPr>
                <w:rFonts w:hint="eastAsia"/>
                <w:color w:val="FF6600"/>
              </w:rPr>
              <w:t>2014.</w:t>
            </w:r>
            <w:r w:rsidR="002B694D">
              <w:rPr>
                <w:rFonts w:hint="eastAsia"/>
                <w:color w:val="FF6600"/>
              </w:rPr>
              <w:t>4</w:t>
            </w:r>
            <w:r w:rsidRPr="006967F1">
              <w:rPr>
                <w:rFonts w:hint="eastAsia"/>
                <w:color w:val="FF6600"/>
              </w:rPr>
              <w:t>.</w:t>
            </w:r>
            <w:r w:rsidR="002B694D">
              <w:rPr>
                <w:rFonts w:hint="eastAsia"/>
                <w:color w:val="FF6600"/>
              </w:rPr>
              <w:t>8</w:t>
            </w:r>
            <w:r w:rsidRPr="006967F1">
              <w:rPr>
                <w:rFonts w:hint="eastAsia"/>
                <w:color w:val="FF6600"/>
              </w:rPr>
              <w:t>）</w:t>
            </w:r>
          </w:p>
        </w:tc>
      </w:tr>
      <w:tr w:rsidR="00C01486" w:rsidTr="00B779DE">
        <w:trPr>
          <w:cantSplit/>
          <w:trHeight w:val="233"/>
          <w:jc w:val="center"/>
        </w:trPr>
        <w:tc>
          <w:tcPr>
            <w:tcW w:w="626" w:type="dxa"/>
            <w:tcBorders>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代码</w:t>
            </w:r>
          </w:p>
        </w:tc>
        <w:tc>
          <w:tcPr>
            <w:tcW w:w="2068"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简称</w:t>
            </w:r>
          </w:p>
        </w:tc>
        <w:tc>
          <w:tcPr>
            <w:tcW w:w="992"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proofErr w:type="gramStart"/>
            <w:r w:rsidRPr="004143AB">
              <w:rPr>
                <w:rFonts w:asciiTheme="minorEastAsia" w:hAnsiTheme="minorEastAsia" w:hint="eastAsia"/>
                <w:b/>
                <w:sz w:val="15"/>
                <w:szCs w:val="15"/>
              </w:rPr>
              <w:t>凯</w:t>
            </w:r>
            <w:proofErr w:type="gramEnd"/>
            <w:r w:rsidRPr="004143AB">
              <w:rPr>
                <w:rFonts w:asciiTheme="minorEastAsia" w:hAnsiTheme="minorEastAsia" w:hint="eastAsia"/>
                <w:b/>
                <w:sz w:val="15"/>
                <w:szCs w:val="15"/>
              </w:rPr>
              <w:t>石分类</w:t>
            </w:r>
          </w:p>
        </w:tc>
        <w:tc>
          <w:tcPr>
            <w:tcW w:w="850"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募集起始日</w:t>
            </w:r>
          </w:p>
        </w:tc>
        <w:tc>
          <w:tcPr>
            <w:tcW w:w="851"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计划截止日</w:t>
            </w:r>
          </w:p>
        </w:tc>
        <w:tc>
          <w:tcPr>
            <w:tcW w:w="142" w:type="dxa"/>
            <w:vMerge w:val="restart"/>
            <w:tcBorders>
              <w:left w:val="single" w:sz="6" w:space="0" w:color="FF6600"/>
              <w:right w:val="single" w:sz="6" w:space="0" w:color="FF6600"/>
            </w:tcBorders>
            <w:shd w:val="clear" w:color="auto" w:fill="auto"/>
            <w:vAlign w:val="center"/>
          </w:tcPr>
          <w:p w:rsidR="00C01486" w:rsidRPr="0007259C" w:rsidRDefault="00C01486" w:rsidP="00D92D8A">
            <w:pPr>
              <w:jc w:val="center"/>
              <w:rPr>
                <w:rFonts w:ascii="宋体" w:eastAsia="宋体" w:hAnsi="宋体"/>
                <w:b/>
              </w:rPr>
            </w:pPr>
          </w:p>
        </w:tc>
        <w:tc>
          <w:tcPr>
            <w:tcW w:w="625"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代码</w:t>
            </w:r>
          </w:p>
        </w:tc>
        <w:tc>
          <w:tcPr>
            <w:tcW w:w="2210"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简称</w:t>
            </w:r>
          </w:p>
        </w:tc>
        <w:tc>
          <w:tcPr>
            <w:tcW w:w="992"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proofErr w:type="gramStart"/>
            <w:r w:rsidRPr="004143AB">
              <w:rPr>
                <w:rFonts w:asciiTheme="minorEastAsia" w:hAnsiTheme="minorEastAsia" w:hint="eastAsia"/>
                <w:b/>
                <w:sz w:val="15"/>
                <w:szCs w:val="15"/>
              </w:rPr>
              <w:t>凯</w:t>
            </w:r>
            <w:proofErr w:type="gramEnd"/>
            <w:r w:rsidRPr="004143AB">
              <w:rPr>
                <w:rFonts w:asciiTheme="minorEastAsia" w:hAnsiTheme="minorEastAsia" w:hint="eastAsia"/>
                <w:b/>
                <w:sz w:val="15"/>
                <w:szCs w:val="15"/>
              </w:rPr>
              <w:t>石分类</w:t>
            </w:r>
          </w:p>
        </w:tc>
        <w:tc>
          <w:tcPr>
            <w:tcW w:w="850"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募集起始日</w:t>
            </w:r>
          </w:p>
        </w:tc>
        <w:tc>
          <w:tcPr>
            <w:tcW w:w="851" w:type="dxa"/>
            <w:tcBorders>
              <w:lef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计划截止日</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000549</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华安大国新经济股票</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股票</w:t>
            </w:r>
            <w:r w:rsidRPr="002B694D">
              <w:rPr>
                <w:rFonts w:hint="eastAsia"/>
                <w:color w:val="000000"/>
                <w:sz w:val="15"/>
                <w:szCs w:val="15"/>
              </w:rPr>
              <w:t>-</w:t>
            </w:r>
            <w:r w:rsidRPr="002B694D">
              <w:rPr>
                <w:rFonts w:hint="eastAsia"/>
                <w:color w:val="000000"/>
                <w:sz w:val="15"/>
                <w:szCs w:val="15"/>
              </w:rPr>
              <w:t>主动型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2014/3/13</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2014/4/10</w:t>
            </w:r>
          </w:p>
        </w:tc>
        <w:tc>
          <w:tcPr>
            <w:tcW w:w="142" w:type="dxa"/>
            <w:vMerge/>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000551</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信诚幸福消费股票</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股票</w:t>
            </w:r>
            <w:r w:rsidRPr="002B694D">
              <w:rPr>
                <w:rFonts w:hint="eastAsia"/>
                <w:color w:val="000000"/>
                <w:sz w:val="15"/>
                <w:szCs w:val="15"/>
              </w:rPr>
              <w:t>-</w:t>
            </w:r>
            <w:r w:rsidRPr="002B694D">
              <w:rPr>
                <w:rFonts w:hint="eastAsia"/>
                <w:color w:val="000000"/>
                <w:sz w:val="15"/>
                <w:szCs w:val="15"/>
              </w:rPr>
              <w:t>主动型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2014/3/31</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2014/4/24</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000584</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新华一路财富灵活配置混合</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混合</w:t>
            </w:r>
            <w:r w:rsidRPr="002B694D">
              <w:rPr>
                <w:rFonts w:hint="eastAsia"/>
                <w:color w:val="000000"/>
                <w:sz w:val="15"/>
                <w:szCs w:val="15"/>
              </w:rPr>
              <w:t>-</w:t>
            </w:r>
            <w:r w:rsidRPr="002B694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2014/3/14</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2014/4/14</w:t>
            </w:r>
          </w:p>
        </w:tc>
        <w:tc>
          <w:tcPr>
            <w:tcW w:w="142" w:type="dxa"/>
            <w:vMerge/>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000589</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光大银发商机主题股票</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股票</w:t>
            </w:r>
            <w:r w:rsidRPr="002B694D">
              <w:rPr>
                <w:rFonts w:hint="eastAsia"/>
                <w:color w:val="000000"/>
                <w:sz w:val="15"/>
                <w:szCs w:val="15"/>
              </w:rPr>
              <w:t>-</w:t>
            </w:r>
            <w:r w:rsidRPr="002B694D">
              <w:rPr>
                <w:rFonts w:hint="eastAsia"/>
                <w:color w:val="000000"/>
                <w:sz w:val="15"/>
                <w:szCs w:val="15"/>
              </w:rPr>
              <w:t>主动型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2014/3/31</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2014/4/25</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000545</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中</w:t>
            </w:r>
            <w:proofErr w:type="gramStart"/>
            <w:r w:rsidRPr="002B694D">
              <w:rPr>
                <w:rFonts w:hint="eastAsia"/>
                <w:color w:val="000000"/>
                <w:sz w:val="15"/>
                <w:szCs w:val="15"/>
              </w:rPr>
              <w:t>邮核心</w:t>
            </w:r>
            <w:proofErr w:type="gramEnd"/>
            <w:r w:rsidRPr="002B694D">
              <w:rPr>
                <w:rFonts w:hint="eastAsia"/>
                <w:color w:val="000000"/>
                <w:sz w:val="15"/>
                <w:szCs w:val="15"/>
              </w:rPr>
              <w:t>竞争灵活配置混合</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混合</w:t>
            </w:r>
            <w:r w:rsidRPr="002B694D">
              <w:rPr>
                <w:rFonts w:hint="eastAsia"/>
                <w:color w:val="000000"/>
                <w:sz w:val="15"/>
                <w:szCs w:val="15"/>
              </w:rPr>
              <w:t>-</w:t>
            </w:r>
            <w:r w:rsidRPr="002B694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2014/3/18</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2014/4/18</w:t>
            </w:r>
          </w:p>
        </w:tc>
        <w:tc>
          <w:tcPr>
            <w:tcW w:w="142" w:type="dxa"/>
            <w:vMerge/>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000587</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大成灵活配置混合</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混合</w:t>
            </w:r>
            <w:r w:rsidRPr="002B694D">
              <w:rPr>
                <w:rFonts w:hint="eastAsia"/>
                <w:color w:val="000000"/>
                <w:sz w:val="15"/>
                <w:szCs w:val="15"/>
              </w:rPr>
              <w:t>-</w:t>
            </w:r>
            <w:r w:rsidRPr="002B694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2014/4/30</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000578</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proofErr w:type="gramStart"/>
            <w:r w:rsidRPr="002B694D">
              <w:rPr>
                <w:rFonts w:hint="eastAsia"/>
                <w:color w:val="000000"/>
                <w:sz w:val="15"/>
                <w:szCs w:val="15"/>
              </w:rPr>
              <w:t>鑫</w:t>
            </w:r>
            <w:proofErr w:type="gramEnd"/>
            <w:r w:rsidRPr="002B694D">
              <w:rPr>
                <w:rFonts w:hint="eastAsia"/>
                <w:color w:val="000000"/>
                <w:sz w:val="15"/>
                <w:szCs w:val="15"/>
              </w:rPr>
              <w:t>元一年定期开放债券</w:t>
            </w:r>
            <w:r w:rsidRPr="002B694D">
              <w:rPr>
                <w:rFonts w:hint="eastAsia"/>
                <w:color w:val="000000"/>
                <w:sz w:val="15"/>
                <w:szCs w:val="15"/>
              </w:rPr>
              <w:t>A</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债券</w:t>
            </w:r>
            <w:r w:rsidRPr="002B694D">
              <w:rPr>
                <w:rFonts w:hint="eastAsia"/>
                <w:color w:val="000000"/>
                <w:sz w:val="15"/>
                <w:szCs w:val="15"/>
              </w:rPr>
              <w:t>-</w:t>
            </w:r>
            <w:proofErr w:type="gramStart"/>
            <w:r w:rsidRPr="002B694D">
              <w:rPr>
                <w:rFonts w:hint="eastAsia"/>
                <w:color w:val="000000"/>
                <w:sz w:val="15"/>
                <w:szCs w:val="15"/>
              </w:rPr>
              <w:t>二级债基</w:t>
            </w:r>
            <w:proofErr w:type="gramEnd"/>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2014/3/18</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2014/4/15</w:t>
            </w:r>
          </w:p>
        </w:tc>
        <w:tc>
          <w:tcPr>
            <w:tcW w:w="142" w:type="dxa"/>
            <w:vMerge/>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000496</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长安产业精选混合</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混合</w:t>
            </w:r>
            <w:r w:rsidRPr="002B694D">
              <w:rPr>
                <w:rFonts w:hint="eastAsia"/>
                <w:color w:val="000000"/>
                <w:sz w:val="15"/>
                <w:szCs w:val="15"/>
              </w:rPr>
              <w:t>-</w:t>
            </w:r>
            <w:r w:rsidRPr="002B694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2014/4/30</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000298</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中海纯</w:t>
            </w:r>
            <w:proofErr w:type="gramStart"/>
            <w:r w:rsidRPr="002B694D">
              <w:rPr>
                <w:rFonts w:hint="eastAsia"/>
                <w:color w:val="000000"/>
                <w:sz w:val="15"/>
                <w:szCs w:val="15"/>
              </w:rPr>
              <w:t>债</w:t>
            </w:r>
            <w:proofErr w:type="gramEnd"/>
            <w:r w:rsidRPr="002B694D">
              <w:rPr>
                <w:rFonts w:hint="eastAsia"/>
                <w:color w:val="000000"/>
                <w:sz w:val="15"/>
                <w:szCs w:val="15"/>
              </w:rPr>
              <w:t>债券</w:t>
            </w:r>
            <w:r w:rsidRPr="002B694D">
              <w:rPr>
                <w:rFonts w:hint="eastAsia"/>
                <w:color w:val="000000"/>
                <w:sz w:val="15"/>
                <w:szCs w:val="15"/>
              </w:rPr>
              <w:t>A</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债券</w:t>
            </w:r>
            <w:r w:rsidRPr="002B694D">
              <w:rPr>
                <w:rFonts w:hint="eastAsia"/>
                <w:color w:val="000000"/>
                <w:sz w:val="15"/>
                <w:szCs w:val="15"/>
              </w:rPr>
              <w:t>-</w:t>
            </w:r>
            <w:proofErr w:type="gramStart"/>
            <w:r w:rsidRPr="002B694D">
              <w:rPr>
                <w:rFonts w:hint="eastAsia"/>
                <w:color w:val="000000"/>
                <w:sz w:val="15"/>
                <w:szCs w:val="15"/>
              </w:rPr>
              <w:t>纯债基金</w:t>
            </w:r>
            <w:proofErr w:type="gramEnd"/>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2014/3/19</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2014/4/18</w:t>
            </w:r>
          </w:p>
        </w:tc>
        <w:tc>
          <w:tcPr>
            <w:tcW w:w="142" w:type="dxa"/>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000571</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proofErr w:type="gramStart"/>
            <w:r w:rsidRPr="002B694D">
              <w:rPr>
                <w:rFonts w:hint="eastAsia"/>
                <w:color w:val="000000"/>
                <w:sz w:val="15"/>
                <w:szCs w:val="15"/>
              </w:rPr>
              <w:t>中邮双动力</w:t>
            </w:r>
            <w:proofErr w:type="gramEnd"/>
            <w:r w:rsidRPr="002B694D">
              <w:rPr>
                <w:rFonts w:hint="eastAsia"/>
                <w:color w:val="000000"/>
                <w:sz w:val="15"/>
                <w:szCs w:val="15"/>
              </w:rPr>
              <w:t>混合</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混合</w:t>
            </w:r>
            <w:r w:rsidRPr="002B694D">
              <w:rPr>
                <w:rFonts w:hint="eastAsia"/>
                <w:color w:val="000000"/>
                <w:sz w:val="15"/>
                <w:szCs w:val="15"/>
              </w:rPr>
              <w:t>-</w:t>
            </w:r>
            <w:proofErr w:type="gramStart"/>
            <w:r w:rsidRPr="002B694D">
              <w:rPr>
                <w:rFonts w:hint="eastAsia"/>
                <w:color w:val="000000"/>
                <w:sz w:val="15"/>
                <w:szCs w:val="15"/>
              </w:rPr>
              <w:t>偏债型</w:t>
            </w:r>
            <w:proofErr w:type="gramEnd"/>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2014/4/25</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000577</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安</w:t>
            </w:r>
            <w:proofErr w:type="gramStart"/>
            <w:r w:rsidRPr="002B694D">
              <w:rPr>
                <w:rFonts w:hint="eastAsia"/>
                <w:color w:val="000000"/>
                <w:sz w:val="15"/>
                <w:szCs w:val="15"/>
              </w:rPr>
              <w:t>信价值</w:t>
            </w:r>
            <w:proofErr w:type="gramEnd"/>
            <w:r w:rsidRPr="002B694D">
              <w:rPr>
                <w:rFonts w:hint="eastAsia"/>
                <w:color w:val="000000"/>
                <w:sz w:val="15"/>
                <w:szCs w:val="15"/>
              </w:rPr>
              <w:t>精选股票</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股票</w:t>
            </w:r>
            <w:r w:rsidRPr="002B694D">
              <w:rPr>
                <w:rFonts w:hint="eastAsia"/>
                <w:color w:val="000000"/>
                <w:sz w:val="15"/>
                <w:szCs w:val="15"/>
              </w:rPr>
              <w:t>-</w:t>
            </w:r>
            <w:r w:rsidRPr="002B694D">
              <w:rPr>
                <w:rFonts w:hint="eastAsia"/>
                <w:color w:val="000000"/>
                <w:sz w:val="15"/>
                <w:szCs w:val="15"/>
              </w:rPr>
              <w:t>主动型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2014/3/20</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2014/4/17</w:t>
            </w:r>
          </w:p>
        </w:tc>
        <w:tc>
          <w:tcPr>
            <w:tcW w:w="142" w:type="dxa"/>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160625</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proofErr w:type="gramStart"/>
            <w:r w:rsidRPr="002B694D">
              <w:rPr>
                <w:rFonts w:hint="eastAsia"/>
                <w:color w:val="000000"/>
                <w:sz w:val="15"/>
                <w:szCs w:val="15"/>
              </w:rPr>
              <w:t>鹏华非银行</w:t>
            </w:r>
            <w:proofErr w:type="gramEnd"/>
            <w:r w:rsidRPr="002B694D">
              <w:rPr>
                <w:rFonts w:hint="eastAsia"/>
                <w:color w:val="000000"/>
                <w:sz w:val="15"/>
                <w:szCs w:val="15"/>
              </w:rPr>
              <w:t>分级</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股票</w:t>
            </w:r>
            <w:r w:rsidRPr="002B694D">
              <w:rPr>
                <w:rFonts w:hint="eastAsia"/>
                <w:color w:val="000000"/>
                <w:sz w:val="15"/>
                <w:szCs w:val="15"/>
              </w:rPr>
              <w:t>-</w:t>
            </w:r>
            <w:r w:rsidRPr="002B694D">
              <w:rPr>
                <w:rFonts w:hint="eastAsia"/>
                <w:color w:val="000000"/>
                <w:sz w:val="15"/>
                <w:szCs w:val="15"/>
              </w:rPr>
              <w:t>指数型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2014/4/3</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2014/4/24</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000567</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广发聚</w:t>
            </w:r>
            <w:proofErr w:type="gramStart"/>
            <w:r w:rsidRPr="002B694D">
              <w:rPr>
                <w:rFonts w:hint="eastAsia"/>
                <w:color w:val="000000"/>
                <w:sz w:val="15"/>
                <w:szCs w:val="15"/>
              </w:rPr>
              <w:t>祥</w:t>
            </w:r>
            <w:proofErr w:type="gramEnd"/>
            <w:r w:rsidRPr="002B694D">
              <w:rPr>
                <w:rFonts w:hint="eastAsia"/>
                <w:color w:val="000000"/>
                <w:sz w:val="15"/>
                <w:szCs w:val="15"/>
              </w:rPr>
              <w:t>灵活混合</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混合</w:t>
            </w:r>
            <w:r w:rsidRPr="002B694D">
              <w:rPr>
                <w:rFonts w:hint="eastAsia"/>
                <w:color w:val="000000"/>
                <w:sz w:val="15"/>
                <w:szCs w:val="15"/>
              </w:rPr>
              <w:t>-</w:t>
            </w:r>
            <w:r w:rsidRPr="002B694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2014/3/21</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2014/4/16</w:t>
            </w:r>
          </w:p>
        </w:tc>
        <w:tc>
          <w:tcPr>
            <w:tcW w:w="142" w:type="dxa"/>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160626</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鹏华信息分级</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股票</w:t>
            </w:r>
            <w:r w:rsidRPr="002B694D">
              <w:rPr>
                <w:rFonts w:hint="eastAsia"/>
                <w:color w:val="000000"/>
                <w:sz w:val="15"/>
                <w:szCs w:val="15"/>
              </w:rPr>
              <w:t>-</w:t>
            </w:r>
            <w:r w:rsidRPr="002B694D">
              <w:rPr>
                <w:rFonts w:hint="eastAsia"/>
                <w:color w:val="000000"/>
                <w:sz w:val="15"/>
                <w:szCs w:val="15"/>
              </w:rPr>
              <w:t>指数型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2014/4/3</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2014/4/24</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000367</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国泰安康养老定期支付混合</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混合</w:t>
            </w:r>
            <w:r w:rsidRPr="002B694D">
              <w:rPr>
                <w:rFonts w:hint="eastAsia"/>
                <w:color w:val="000000"/>
                <w:sz w:val="15"/>
                <w:szCs w:val="15"/>
              </w:rPr>
              <w:t>-</w:t>
            </w:r>
            <w:proofErr w:type="gramStart"/>
            <w:r w:rsidRPr="002B694D">
              <w:rPr>
                <w:rFonts w:hint="eastAsia"/>
                <w:color w:val="000000"/>
                <w:sz w:val="15"/>
                <w:szCs w:val="15"/>
              </w:rPr>
              <w:t>偏债型</w:t>
            </w:r>
            <w:proofErr w:type="gramEnd"/>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2014/3/21</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2014/4/25</w:t>
            </w:r>
          </w:p>
        </w:tc>
        <w:tc>
          <w:tcPr>
            <w:tcW w:w="142" w:type="dxa"/>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519165</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新华</w:t>
            </w:r>
            <w:proofErr w:type="gramStart"/>
            <w:r w:rsidRPr="002B694D">
              <w:rPr>
                <w:rFonts w:hint="eastAsia"/>
                <w:color w:val="000000"/>
                <w:sz w:val="15"/>
                <w:szCs w:val="15"/>
              </w:rPr>
              <w:t>鑫</w:t>
            </w:r>
            <w:proofErr w:type="gramEnd"/>
            <w:r w:rsidRPr="002B694D">
              <w:rPr>
                <w:rFonts w:hint="eastAsia"/>
                <w:color w:val="000000"/>
                <w:sz w:val="15"/>
                <w:szCs w:val="15"/>
              </w:rPr>
              <w:t>利灵活配置混合</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混合</w:t>
            </w:r>
            <w:r w:rsidRPr="002B694D">
              <w:rPr>
                <w:rFonts w:hint="eastAsia"/>
                <w:color w:val="000000"/>
                <w:sz w:val="15"/>
                <w:szCs w:val="15"/>
              </w:rPr>
              <w:t>-</w:t>
            </w:r>
            <w:r w:rsidRPr="002B694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2014/4/8</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2014/4/18</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000566</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华泰柏瑞创新升级混合</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混合</w:t>
            </w:r>
            <w:r w:rsidRPr="002B694D">
              <w:rPr>
                <w:rFonts w:hint="eastAsia"/>
                <w:color w:val="000000"/>
                <w:sz w:val="15"/>
                <w:szCs w:val="15"/>
              </w:rPr>
              <w:t>-</w:t>
            </w:r>
            <w:r w:rsidRPr="002B694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2014/3/24</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2014/4/25</w:t>
            </w:r>
          </w:p>
        </w:tc>
        <w:tc>
          <w:tcPr>
            <w:tcW w:w="142" w:type="dxa"/>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000601</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华宝兴业创新股票</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股票</w:t>
            </w:r>
            <w:r w:rsidRPr="002B694D">
              <w:rPr>
                <w:rFonts w:hint="eastAsia"/>
                <w:color w:val="000000"/>
                <w:sz w:val="15"/>
                <w:szCs w:val="15"/>
              </w:rPr>
              <w:t>-</w:t>
            </w:r>
            <w:r w:rsidRPr="002B694D">
              <w:rPr>
                <w:rFonts w:hint="eastAsia"/>
                <w:color w:val="000000"/>
                <w:sz w:val="15"/>
                <w:szCs w:val="15"/>
              </w:rPr>
              <w:t>主动型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2014/4/8</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2014/5/9</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000520</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上银新兴价值成长股票</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股票</w:t>
            </w:r>
            <w:r w:rsidRPr="002B694D">
              <w:rPr>
                <w:rFonts w:hint="eastAsia"/>
                <w:color w:val="000000"/>
                <w:sz w:val="15"/>
                <w:szCs w:val="15"/>
              </w:rPr>
              <w:t>-</w:t>
            </w:r>
            <w:r w:rsidRPr="002B694D">
              <w:rPr>
                <w:rFonts w:hint="eastAsia"/>
                <w:color w:val="000000"/>
                <w:sz w:val="15"/>
                <w:szCs w:val="15"/>
              </w:rPr>
              <w:t>主动型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2014/3/24</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2014/4/18</w:t>
            </w:r>
          </w:p>
        </w:tc>
        <w:tc>
          <w:tcPr>
            <w:tcW w:w="142" w:type="dxa"/>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165809</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东吴中证可转</w:t>
            </w:r>
            <w:proofErr w:type="gramStart"/>
            <w:r w:rsidRPr="002B694D">
              <w:rPr>
                <w:rFonts w:hint="eastAsia"/>
                <w:color w:val="000000"/>
                <w:sz w:val="15"/>
                <w:szCs w:val="15"/>
              </w:rPr>
              <w:t>债指数</w:t>
            </w:r>
            <w:proofErr w:type="gramEnd"/>
            <w:r w:rsidRPr="002B694D">
              <w:rPr>
                <w:rFonts w:hint="eastAsia"/>
                <w:color w:val="000000"/>
                <w:sz w:val="15"/>
                <w:szCs w:val="15"/>
              </w:rPr>
              <w:t>分级</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债券</w:t>
            </w:r>
            <w:r w:rsidRPr="002B694D">
              <w:rPr>
                <w:rFonts w:hint="eastAsia"/>
                <w:color w:val="000000"/>
                <w:sz w:val="15"/>
                <w:szCs w:val="15"/>
              </w:rPr>
              <w:t>-</w:t>
            </w:r>
            <w:proofErr w:type="gramStart"/>
            <w:r w:rsidRPr="002B694D">
              <w:rPr>
                <w:rFonts w:hint="eastAsia"/>
                <w:color w:val="000000"/>
                <w:sz w:val="15"/>
                <w:szCs w:val="15"/>
              </w:rPr>
              <w:t>指数债基</w:t>
            </w:r>
            <w:proofErr w:type="gramEnd"/>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2014/4/8</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2014/4/25</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000563</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南方通利债券</w:t>
            </w:r>
            <w:r w:rsidRPr="002B694D">
              <w:rPr>
                <w:rFonts w:hint="eastAsia"/>
                <w:color w:val="000000"/>
                <w:sz w:val="15"/>
                <w:szCs w:val="15"/>
              </w:rPr>
              <w:t>A</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债券</w:t>
            </w:r>
            <w:r w:rsidRPr="002B694D">
              <w:rPr>
                <w:rFonts w:hint="eastAsia"/>
                <w:color w:val="000000"/>
                <w:sz w:val="15"/>
                <w:szCs w:val="15"/>
              </w:rPr>
              <w:t>-</w:t>
            </w:r>
            <w:proofErr w:type="gramStart"/>
            <w:r w:rsidRPr="002B694D">
              <w:rPr>
                <w:rFonts w:hint="eastAsia"/>
                <w:color w:val="000000"/>
                <w:sz w:val="15"/>
                <w:szCs w:val="15"/>
              </w:rPr>
              <w:t>纯债基金</w:t>
            </w:r>
            <w:proofErr w:type="gramEnd"/>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2014/3/25</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2014/4/23</w:t>
            </w:r>
          </w:p>
        </w:tc>
        <w:tc>
          <w:tcPr>
            <w:tcW w:w="142" w:type="dxa"/>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000595</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嘉实泰和混合</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混合</w:t>
            </w:r>
            <w:r w:rsidRPr="002B694D">
              <w:rPr>
                <w:rFonts w:hint="eastAsia"/>
                <w:color w:val="000000"/>
                <w:sz w:val="15"/>
                <w:szCs w:val="15"/>
              </w:rPr>
              <w:t>-</w:t>
            </w:r>
            <w:r w:rsidRPr="002B694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2014/4/8</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2014/4/28</w:t>
            </w:r>
          </w:p>
        </w:tc>
      </w:tr>
      <w:tr w:rsidR="002B694D" w:rsidTr="00B779DE">
        <w:trPr>
          <w:cantSplit/>
          <w:trHeight w:val="232"/>
          <w:jc w:val="center"/>
        </w:trPr>
        <w:tc>
          <w:tcPr>
            <w:tcW w:w="626" w:type="dxa"/>
            <w:tcBorders>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000586</w:t>
            </w:r>
          </w:p>
        </w:tc>
        <w:tc>
          <w:tcPr>
            <w:tcW w:w="2068"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景顺中小</w:t>
            </w:r>
            <w:proofErr w:type="gramStart"/>
            <w:r w:rsidRPr="002B694D">
              <w:rPr>
                <w:rFonts w:hint="eastAsia"/>
                <w:color w:val="000000"/>
                <w:sz w:val="15"/>
                <w:szCs w:val="15"/>
              </w:rPr>
              <w:t>板创业</w:t>
            </w:r>
            <w:proofErr w:type="gramEnd"/>
            <w:r w:rsidRPr="002B694D">
              <w:rPr>
                <w:rFonts w:hint="eastAsia"/>
                <w:color w:val="000000"/>
                <w:sz w:val="15"/>
                <w:szCs w:val="15"/>
              </w:rPr>
              <w:t>板精选股票</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股票</w:t>
            </w:r>
            <w:r w:rsidRPr="002B694D">
              <w:rPr>
                <w:rFonts w:hint="eastAsia"/>
                <w:color w:val="000000"/>
                <w:sz w:val="15"/>
                <w:szCs w:val="15"/>
              </w:rPr>
              <w:t>-</w:t>
            </w:r>
            <w:r w:rsidRPr="002B694D">
              <w:rPr>
                <w:rFonts w:hint="eastAsia"/>
                <w:color w:val="000000"/>
                <w:sz w:val="15"/>
                <w:szCs w:val="15"/>
              </w:rPr>
              <w:t>主动型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2014/3/31</w:t>
            </w:r>
          </w:p>
        </w:tc>
        <w:tc>
          <w:tcPr>
            <w:tcW w:w="851"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2014/4/25</w:t>
            </w:r>
          </w:p>
        </w:tc>
        <w:tc>
          <w:tcPr>
            <w:tcW w:w="142" w:type="dxa"/>
            <w:tcBorders>
              <w:left w:val="single" w:sz="6" w:space="0" w:color="FF6600"/>
              <w:right w:val="single" w:sz="6" w:space="0" w:color="FF6600"/>
            </w:tcBorders>
            <w:shd w:val="clear" w:color="auto" w:fill="auto"/>
            <w:vAlign w:val="center"/>
          </w:tcPr>
          <w:p w:rsidR="002B694D" w:rsidRPr="00406BAC" w:rsidRDefault="002B694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000596</w:t>
            </w:r>
          </w:p>
        </w:tc>
        <w:tc>
          <w:tcPr>
            <w:tcW w:w="221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前海开源中证军工指数</w:t>
            </w:r>
          </w:p>
        </w:tc>
        <w:tc>
          <w:tcPr>
            <w:tcW w:w="992"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股票</w:t>
            </w:r>
            <w:r w:rsidRPr="002B694D">
              <w:rPr>
                <w:rFonts w:hint="eastAsia"/>
                <w:color w:val="000000"/>
                <w:sz w:val="15"/>
                <w:szCs w:val="15"/>
              </w:rPr>
              <w:t>-</w:t>
            </w:r>
            <w:r w:rsidRPr="002B694D">
              <w:rPr>
                <w:rFonts w:hint="eastAsia"/>
                <w:color w:val="000000"/>
                <w:sz w:val="15"/>
                <w:szCs w:val="15"/>
              </w:rPr>
              <w:t>指数型</w:t>
            </w:r>
          </w:p>
        </w:tc>
        <w:tc>
          <w:tcPr>
            <w:tcW w:w="850" w:type="dxa"/>
            <w:tcBorders>
              <w:left w:val="single" w:sz="6" w:space="0" w:color="FF6600"/>
              <w:righ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2014/4/8</w:t>
            </w:r>
          </w:p>
        </w:tc>
        <w:tc>
          <w:tcPr>
            <w:tcW w:w="851" w:type="dxa"/>
            <w:tcBorders>
              <w:left w:val="single" w:sz="6" w:space="0" w:color="FF6600"/>
            </w:tcBorders>
            <w:shd w:val="clear" w:color="auto" w:fill="auto"/>
            <w:vAlign w:val="center"/>
          </w:tcPr>
          <w:p w:rsidR="002B694D" w:rsidRPr="002B694D" w:rsidRDefault="002B694D" w:rsidP="002B694D">
            <w:pPr>
              <w:jc w:val="center"/>
              <w:rPr>
                <w:rFonts w:ascii="宋体" w:eastAsia="宋体" w:hAnsi="宋体" w:cs="宋体"/>
                <w:color w:val="000000"/>
                <w:sz w:val="15"/>
                <w:szCs w:val="15"/>
              </w:rPr>
            </w:pPr>
            <w:r w:rsidRPr="002B694D">
              <w:rPr>
                <w:rFonts w:hint="eastAsia"/>
                <w:color w:val="000000"/>
                <w:sz w:val="15"/>
                <w:szCs w:val="15"/>
              </w:rPr>
              <w:t>2014/5/8</w:t>
            </w:r>
          </w:p>
        </w:tc>
      </w:tr>
      <w:tr w:rsidR="00C01486" w:rsidTr="00B779DE">
        <w:trPr>
          <w:cantSplit/>
          <w:trHeight w:val="232"/>
          <w:jc w:val="center"/>
        </w:trPr>
        <w:tc>
          <w:tcPr>
            <w:tcW w:w="11057" w:type="dxa"/>
            <w:gridSpan w:val="11"/>
            <w:shd w:val="clear" w:color="auto" w:fill="auto"/>
            <w:vAlign w:val="center"/>
          </w:tcPr>
          <w:p w:rsidR="00C01486" w:rsidRPr="00406BAC" w:rsidRDefault="00C01486" w:rsidP="00D92D8A">
            <w:pPr>
              <w:jc w:val="left"/>
              <w:rPr>
                <w:rFonts w:ascii="宋体" w:eastAsia="宋体" w:hAnsi="宋体"/>
                <w:b/>
                <w:sz w:val="15"/>
                <w:szCs w:val="15"/>
              </w:rPr>
            </w:pPr>
            <w:r>
              <w:rPr>
                <w:rFonts w:ascii="宋体" w:eastAsia="宋体" w:hAnsi="宋体"/>
                <w:b/>
                <w:sz w:val="15"/>
                <w:szCs w:val="15"/>
              </w:rPr>
              <w:t>注：</w:t>
            </w:r>
            <w:r w:rsidRPr="00C42DE4">
              <w:rPr>
                <w:rFonts w:ascii="宋体" w:eastAsia="宋体" w:hAnsi="宋体"/>
                <w:sz w:val="15"/>
                <w:szCs w:val="15"/>
              </w:rPr>
              <w:t>A</w:t>
            </w:r>
            <w:r w:rsidRPr="00C42DE4">
              <w:rPr>
                <w:rFonts w:ascii="宋体" w:eastAsia="宋体" w:hAnsi="宋体" w:hint="eastAsia"/>
                <w:sz w:val="15"/>
                <w:szCs w:val="15"/>
              </w:rPr>
              <w:t>/B/C类仅列举A类</w:t>
            </w:r>
            <w:r>
              <w:rPr>
                <w:rFonts w:ascii="宋体" w:eastAsia="宋体" w:hAnsi="宋体" w:hint="eastAsia"/>
                <w:sz w:val="15"/>
                <w:szCs w:val="15"/>
              </w:rPr>
              <w:t>。</w:t>
            </w:r>
          </w:p>
        </w:tc>
      </w:tr>
    </w:tbl>
    <w:p w:rsidR="00C01486" w:rsidRPr="003629A1" w:rsidRDefault="00C01486" w:rsidP="00C01486">
      <w:pPr>
        <w:pStyle w:val="FootnoteNoline"/>
        <w:ind w:left="0"/>
        <w:rPr>
          <w:color w:val="FF6600"/>
          <w:lang w:val="en-US"/>
        </w:rPr>
      </w:pPr>
      <w:r w:rsidRPr="003629A1">
        <w:rPr>
          <w:rFonts w:hint="eastAsia"/>
          <w:color w:val="FF6600"/>
          <w:lang w:val="en-US"/>
        </w:rPr>
        <w:t>来源：</w:t>
      </w:r>
      <w:proofErr w:type="gramStart"/>
      <w:r w:rsidRPr="003629A1">
        <w:rPr>
          <w:rFonts w:hint="eastAsia"/>
          <w:color w:val="FF6600"/>
          <w:lang w:val="en-US"/>
        </w:rPr>
        <w:t>凯</w:t>
      </w:r>
      <w:proofErr w:type="gramEnd"/>
      <w:r w:rsidRPr="003629A1">
        <w:rPr>
          <w:rFonts w:hint="eastAsia"/>
          <w:color w:val="FF6600"/>
          <w:lang w:val="en-US"/>
        </w:rPr>
        <w:t>石财富工场</w:t>
      </w:r>
    </w:p>
    <w:p w:rsidR="00C01486" w:rsidRPr="00C01486" w:rsidRDefault="0004431B" w:rsidP="00C01486">
      <w:pPr>
        <w:widowControl/>
        <w:spacing w:after="120" w:line="240" w:lineRule="exact"/>
        <w:ind w:left="3430"/>
        <w:rPr>
          <w:rFonts w:ascii="楷体" w:eastAsia="楷体" w:hAnsi="楷体" w:cs="Times New Roman"/>
          <w:b/>
          <w:bCs/>
          <w:color w:val="0070C0"/>
          <w:kern w:val="0"/>
          <w:sz w:val="24"/>
          <w:szCs w:val="20"/>
          <w:lang w:val="en-GB"/>
        </w:rPr>
      </w:pPr>
      <w:r>
        <w:rPr>
          <w:rFonts w:ascii="楷体" w:eastAsia="楷体" w:hAnsi="楷体" w:cs="Times New Roman" w:hint="eastAsia"/>
          <w:b/>
          <w:bCs/>
          <w:color w:val="0070C0"/>
          <w:kern w:val="0"/>
          <w:sz w:val="24"/>
          <w:szCs w:val="20"/>
          <w:lang w:val="en-GB"/>
        </w:rPr>
        <w:t>新发产品推荐</w:t>
      </w:r>
    </w:p>
    <w:p w:rsidR="009206FD" w:rsidRPr="00C01486" w:rsidRDefault="00A322C5" w:rsidP="009206FD">
      <w:pPr>
        <w:pStyle w:val="ab"/>
        <w:numPr>
          <w:ilvl w:val="4"/>
          <w:numId w:val="1"/>
        </w:numPr>
        <w:spacing w:after="163"/>
        <w:rPr>
          <w:rFonts w:ascii="楷体" w:eastAsia="楷体" w:hAnsi="楷体"/>
          <w:b/>
          <w:color w:val="auto"/>
        </w:rPr>
      </w:pPr>
      <w:r w:rsidRPr="00A322C5">
        <w:rPr>
          <w:rFonts w:ascii="楷体" w:eastAsia="楷体" w:hAnsi="楷体" w:hint="eastAsia"/>
          <w:b/>
          <w:color w:val="auto"/>
        </w:rPr>
        <w:t>新华一路财富灵活配置混合</w:t>
      </w:r>
      <w:r w:rsidR="00C01486" w:rsidRPr="00C01486">
        <w:rPr>
          <w:rFonts w:ascii="楷体" w:eastAsia="楷体" w:hAnsi="楷体" w:hint="eastAsia"/>
          <w:b/>
          <w:color w:val="auto"/>
        </w:rPr>
        <w:t>基金</w:t>
      </w:r>
    </w:p>
    <w:p w:rsidR="00C01486" w:rsidRPr="00C44EDE" w:rsidRDefault="00C44EDE" w:rsidP="009B5041">
      <w:pPr>
        <w:pStyle w:val="ab"/>
        <w:numPr>
          <w:ilvl w:val="5"/>
          <w:numId w:val="2"/>
        </w:numPr>
        <w:spacing w:after="163"/>
        <w:ind w:left="4140" w:hanging="369"/>
        <w:rPr>
          <w:color w:val="auto"/>
        </w:rPr>
      </w:pPr>
      <w:r w:rsidRPr="00C44EDE">
        <w:rPr>
          <w:rFonts w:hint="eastAsia"/>
          <w:b/>
          <w:color w:val="auto"/>
        </w:rPr>
        <w:t>首只互联网定制权益类基金，</w:t>
      </w:r>
      <w:r w:rsidR="004E7D3A" w:rsidRPr="00C44EDE">
        <w:rPr>
          <w:rFonts w:hint="eastAsia"/>
          <w:b/>
          <w:color w:val="auto"/>
        </w:rPr>
        <w:t>追求稳健绝对回报</w:t>
      </w:r>
      <w:r w:rsidR="00C01486" w:rsidRPr="00C44EDE">
        <w:rPr>
          <w:rFonts w:hint="eastAsia"/>
          <w:b/>
          <w:color w:val="auto"/>
        </w:rPr>
        <w:t>。</w:t>
      </w:r>
      <w:r w:rsidR="004E7D3A" w:rsidRPr="00C44EDE">
        <w:rPr>
          <w:rFonts w:hint="eastAsia"/>
          <w:color w:val="auto"/>
        </w:rPr>
        <w:t>该基金</w:t>
      </w:r>
      <w:r w:rsidRPr="00C44EDE">
        <w:rPr>
          <w:rFonts w:hint="eastAsia"/>
          <w:color w:val="auto"/>
        </w:rPr>
        <w:t>是第一只互联网定制的主动管理的权益类基金。</w:t>
      </w:r>
      <w:r w:rsidR="009B5041" w:rsidRPr="00C44EDE">
        <w:rPr>
          <w:rFonts w:hint="eastAsia"/>
          <w:color w:val="auto"/>
        </w:rPr>
        <w:t>在股票投资方面，</w:t>
      </w:r>
      <w:r w:rsidR="004E7D3A" w:rsidRPr="00C44EDE">
        <w:rPr>
          <w:rFonts w:hint="eastAsia"/>
          <w:color w:val="auto"/>
        </w:rPr>
        <w:t>主要把握趋势跟随和</w:t>
      </w:r>
      <w:r w:rsidR="009B5041" w:rsidRPr="00C44EDE">
        <w:rPr>
          <w:rFonts w:hint="eastAsia"/>
          <w:color w:val="auto"/>
        </w:rPr>
        <w:t>绝对收益两个核心</w:t>
      </w:r>
      <w:r w:rsidR="004E7D3A" w:rsidRPr="00C44EDE">
        <w:rPr>
          <w:rFonts w:hint="eastAsia"/>
          <w:color w:val="auto"/>
        </w:rPr>
        <w:t>。</w:t>
      </w:r>
      <w:r w:rsidR="00180027" w:rsidRPr="00C44EDE">
        <w:rPr>
          <w:rFonts w:hint="eastAsia"/>
          <w:color w:val="auto"/>
        </w:rPr>
        <w:t>根据招募说明书中的内容，</w:t>
      </w:r>
      <w:r w:rsidR="009B5041" w:rsidRPr="00C44EDE">
        <w:rPr>
          <w:rFonts w:hint="eastAsia"/>
          <w:color w:val="auto"/>
        </w:rPr>
        <w:t>趋势跟随策略</w:t>
      </w:r>
      <w:r w:rsidR="004E7D3A" w:rsidRPr="00C44EDE">
        <w:rPr>
          <w:rFonts w:hint="eastAsia"/>
          <w:color w:val="auto"/>
        </w:rPr>
        <w:t>是在</w:t>
      </w:r>
      <w:r w:rsidR="009B5041" w:rsidRPr="00C44EDE">
        <w:rPr>
          <w:rFonts w:hint="eastAsia"/>
          <w:color w:val="auto"/>
        </w:rPr>
        <w:t>某行业或个股出现趋势性机会时，积极跟随其市场表现</w:t>
      </w:r>
      <w:r w:rsidR="004E7D3A" w:rsidRPr="00C44EDE">
        <w:rPr>
          <w:rFonts w:hint="eastAsia"/>
          <w:color w:val="auto"/>
        </w:rPr>
        <w:t>。而</w:t>
      </w:r>
      <w:r w:rsidR="009B5041" w:rsidRPr="00C44EDE">
        <w:rPr>
          <w:rFonts w:hint="eastAsia"/>
          <w:color w:val="auto"/>
        </w:rPr>
        <w:t>绝对收益策略</w:t>
      </w:r>
      <w:r w:rsidR="004E7D3A" w:rsidRPr="00C44EDE">
        <w:rPr>
          <w:rFonts w:hint="eastAsia"/>
          <w:color w:val="auto"/>
        </w:rPr>
        <w:t>则是通过</w:t>
      </w:r>
      <w:r w:rsidR="009B5041" w:rsidRPr="00C44EDE">
        <w:rPr>
          <w:rFonts w:hint="eastAsia"/>
          <w:color w:val="auto"/>
        </w:rPr>
        <w:t>套利策略</w:t>
      </w:r>
      <w:r w:rsidR="004E7D3A" w:rsidRPr="00C44EDE">
        <w:rPr>
          <w:rFonts w:hint="eastAsia"/>
          <w:color w:val="auto"/>
        </w:rPr>
        <w:t>来获取稳定回报，具体包括定向增发策略</w:t>
      </w:r>
      <w:r w:rsidR="00180027" w:rsidRPr="00C44EDE">
        <w:rPr>
          <w:rFonts w:hint="eastAsia"/>
          <w:color w:val="auto"/>
        </w:rPr>
        <w:t>、</w:t>
      </w:r>
      <w:r w:rsidR="004E7D3A" w:rsidRPr="00C44EDE">
        <w:rPr>
          <w:rFonts w:hint="eastAsia"/>
          <w:color w:val="auto"/>
        </w:rPr>
        <w:t>事件驱动策略</w:t>
      </w:r>
      <w:r w:rsidR="00180027" w:rsidRPr="00C44EDE">
        <w:rPr>
          <w:rFonts w:hint="eastAsia"/>
          <w:color w:val="auto"/>
        </w:rPr>
        <w:t>、以及大宗交易策略</w:t>
      </w:r>
      <w:r w:rsidR="004342A2" w:rsidRPr="00C44EDE">
        <w:rPr>
          <w:rFonts w:hint="eastAsia"/>
          <w:color w:val="auto"/>
        </w:rPr>
        <w:t>。</w:t>
      </w:r>
      <w:r w:rsidR="00180027" w:rsidRPr="00C44EDE">
        <w:rPr>
          <w:rFonts w:hint="eastAsia"/>
          <w:color w:val="auto"/>
        </w:rPr>
        <w:t>而该基金业绩比较基准设定</w:t>
      </w:r>
      <w:proofErr w:type="gramStart"/>
      <w:r w:rsidR="00180027" w:rsidRPr="00C44EDE">
        <w:rPr>
          <w:rFonts w:hint="eastAsia"/>
          <w:color w:val="auto"/>
        </w:rPr>
        <w:t>为</w:t>
      </w:r>
      <w:r w:rsidR="009B5041" w:rsidRPr="00C44EDE">
        <w:rPr>
          <w:rFonts w:hint="eastAsia"/>
          <w:color w:val="auto"/>
        </w:rPr>
        <w:t>年化收益率</w:t>
      </w:r>
      <w:proofErr w:type="gramEnd"/>
      <w:r w:rsidR="009B5041" w:rsidRPr="00C44EDE">
        <w:rPr>
          <w:rFonts w:hint="eastAsia"/>
          <w:color w:val="auto"/>
        </w:rPr>
        <w:t>10%</w:t>
      </w:r>
      <w:r w:rsidR="00180027" w:rsidRPr="00C44EDE">
        <w:rPr>
          <w:rFonts w:hint="eastAsia"/>
          <w:color w:val="auto"/>
        </w:rPr>
        <w:t>，这一绝对回报率则能够更好的</w:t>
      </w:r>
      <w:r w:rsidR="009314D1">
        <w:rPr>
          <w:rFonts w:hint="eastAsia"/>
          <w:color w:val="auto"/>
        </w:rPr>
        <w:t>反映</w:t>
      </w:r>
      <w:r w:rsidR="00180027" w:rsidRPr="00C44EDE">
        <w:rPr>
          <w:rFonts w:hint="eastAsia"/>
          <w:color w:val="auto"/>
        </w:rPr>
        <w:t>其力争提供稳定绝对回报的决心。</w:t>
      </w:r>
    </w:p>
    <w:p w:rsidR="009206FD" w:rsidRPr="00765CCA" w:rsidRDefault="00A322C5" w:rsidP="00765CCA">
      <w:pPr>
        <w:pStyle w:val="ab"/>
        <w:numPr>
          <w:ilvl w:val="5"/>
          <w:numId w:val="2"/>
        </w:numPr>
        <w:spacing w:after="163"/>
        <w:ind w:left="4140" w:hanging="369"/>
        <w:rPr>
          <w:color w:val="auto"/>
        </w:rPr>
      </w:pPr>
      <w:r w:rsidRPr="00765CCA">
        <w:rPr>
          <w:rFonts w:hint="eastAsia"/>
          <w:b/>
          <w:color w:val="auto"/>
        </w:rPr>
        <w:t>低门槛、低费率</w:t>
      </w:r>
      <w:r w:rsidR="00180027">
        <w:rPr>
          <w:rFonts w:hint="eastAsia"/>
          <w:b/>
          <w:color w:val="auto"/>
        </w:rPr>
        <w:t>，具备一定吸引力</w:t>
      </w:r>
      <w:r w:rsidR="00A52C3A" w:rsidRPr="00765CCA">
        <w:rPr>
          <w:rFonts w:hint="eastAsia"/>
          <w:b/>
          <w:color w:val="auto"/>
        </w:rPr>
        <w:t>。</w:t>
      </w:r>
      <w:r w:rsidR="00180027" w:rsidRPr="00180027">
        <w:rPr>
          <w:rFonts w:hint="eastAsia"/>
          <w:color w:val="auto"/>
        </w:rPr>
        <w:t>招募说明书中规定，</w:t>
      </w:r>
      <w:r w:rsidR="00765CCA" w:rsidRPr="00765CCA">
        <w:rPr>
          <w:rFonts w:hint="eastAsia"/>
          <w:color w:val="auto"/>
        </w:rPr>
        <w:t>在募集期内，基金投资者在销售机构销售网点认购的最低额为人民币</w:t>
      </w:r>
      <w:r w:rsidR="00765CCA" w:rsidRPr="00765CCA">
        <w:rPr>
          <w:rFonts w:hint="eastAsia"/>
          <w:color w:val="auto"/>
        </w:rPr>
        <w:t>1.00</w:t>
      </w:r>
      <w:r w:rsidR="00765CCA" w:rsidRPr="00765CCA">
        <w:rPr>
          <w:rFonts w:hint="eastAsia"/>
          <w:color w:val="auto"/>
        </w:rPr>
        <w:t>元，单笔追加认购金额最低为人民币</w:t>
      </w:r>
      <w:r w:rsidR="00765CCA" w:rsidRPr="00765CCA">
        <w:rPr>
          <w:rFonts w:hint="eastAsia"/>
          <w:color w:val="auto"/>
        </w:rPr>
        <w:t xml:space="preserve">1.00 </w:t>
      </w:r>
      <w:r w:rsidR="00765CCA" w:rsidRPr="00765CCA">
        <w:rPr>
          <w:rFonts w:hint="eastAsia"/>
          <w:color w:val="auto"/>
        </w:rPr>
        <w:t>元；基金投资者在直销机构销售网点认购的最低额为人民币</w:t>
      </w:r>
      <w:r w:rsidR="00765CCA" w:rsidRPr="00765CCA">
        <w:rPr>
          <w:rFonts w:hint="eastAsia"/>
          <w:color w:val="auto"/>
        </w:rPr>
        <w:t xml:space="preserve">10,000 </w:t>
      </w:r>
      <w:r w:rsidR="00765CCA" w:rsidRPr="00765CCA">
        <w:rPr>
          <w:rFonts w:hint="eastAsia"/>
          <w:color w:val="auto"/>
        </w:rPr>
        <w:t>元，追加认购金额为</w:t>
      </w:r>
      <w:r w:rsidR="00765CCA" w:rsidRPr="00765CCA">
        <w:rPr>
          <w:rFonts w:hint="eastAsia"/>
          <w:color w:val="auto"/>
        </w:rPr>
        <w:t xml:space="preserve">500 </w:t>
      </w:r>
      <w:r w:rsidR="00765CCA" w:rsidRPr="00765CCA">
        <w:rPr>
          <w:rFonts w:hint="eastAsia"/>
          <w:color w:val="auto"/>
        </w:rPr>
        <w:t>元；通过基金管理人基金网上交易系统认购的最低额为人民币</w:t>
      </w:r>
      <w:r w:rsidR="00765CCA" w:rsidRPr="00765CCA">
        <w:rPr>
          <w:rFonts w:hint="eastAsia"/>
          <w:color w:val="auto"/>
        </w:rPr>
        <w:t xml:space="preserve">1.00 </w:t>
      </w:r>
      <w:r w:rsidR="00765CCA" w:rsidRPr="00765CCA">
        <w:rPr>
          <w:rFonts w:hint="eastAsia"/>
          <w:color w:val="auto"/>
        </w:rPr>
        <w:t>元。</w:t>
      </w:r>
      <w:r w:rsidR="00180027">
        <w:rPr>
          <w:rFonts w:hint="eastAsia"/>
          <w:color w:val="auto"/>
        </w:rPr>
        <w:t>而且，该</w:t>
      </w:r>
      <w:r w:rsidR="00765CCA" w:rsidRPr="00765CCA">
        <w:rPr>
          <w:rFonts w:hint="eastAsia"/>
          <w:color w:val="auto"/>
        </w:rPr>
        <w:t>基金不收取认购</w:t>
      </w:r>
      <w:r w:rsidR="00180027">
        <w:rPr>
          <w:rFonts w:hint="eastAsia"/>
          <w:color w:val="auto"/>
        </w:rPr>
        <w:t>、申购</w:t>
      </w:r>
      <w:r w:rsidR="00765CCA" w:rsidRPr="00765CCA">
        <w:rPr>
          <w:rFonts w:hint="eastAsia"/>
          <w:color w:val="auto"/>
        </w:rPr>
        <w:t>费用</w:t>
      </w:r>
      <w:r w:rsidR="00180027">
        <w:rPr>
          <w:rFonts w:hint="eastAsia"/>
          <w:color w:val="auto"/>
        </w:rPr>
        <w:t>，</w:t>
      </w:r>
      <w:r w:rsidR="00765CCA" w:rsidRPr="00765CCA">
        <w:rPr>
          <w:rFonts w:hint="eastAsia"/>
          <w:color w:val="auto"/>
        </w:rPr>
        <w:t>赎回</w:t>
      </w:r>
      <w:r w:rsidR="00180027">
        <w:rPr>
          <w:rFonts w:hint="eastAsia"/>
          <w:color w:val="auto"/>
        </w:rPr>
        <w:t>时，若</w:t>
      </w:r>
      <w:r w:rsidR="00765CCA">
        <w:rPr>
          <w:rFonts w:hint="eastAsia"/>
          <w:color w:val="auto"/>
        </w:rPr>
        <w:t>持有时间</w:t>
      </w:r>
      <w:r w:rsidR="00180027">
        <w:rPr>
          <w:rFonts w:hint="eastAsia"/>
          <w:color w:val="auto"/>
        </w:rPr>
        <w:t>在</w:t>
      </w:r>
      <w:r w:rsidR="00765CCA">
        <w:rPr>
          <w:rFonts w:hint="eastAsia"/>
          <w:color w:val="auto"/>
        </w:rPr>
        <w:t>0-29</w:t>
      </w:r>
      <w:r w:rsidR="00765CCA">
        <w:rPr>
          <w:rFonts w:hint="eastAsia"/>
          <w:color w:val="auto"/>
        </w:rPr>
        <w:t>天，</w:t>
      </w:r>
      <w:r w:rsidR="00180027">
        <w:rPr>
          <w:rFonts w:hint="eastAsia"/>
          <w:color w:val="auto"/>
        </w:rPr>
        <w:t>则收取</w:t>
      </w:r>
      <w:r w:rsidR="00765CCA">
        <w:rPr>
          <w:rFonts w:hint="eastAsia"/>
          <w:color w:val="auto"/>
        </w:rPr>
        <w:t>0.5%</w:t>
      </w:r>
      <w:r w:rsidR="00180027">
        <w:rPr>
          <w:rFonts w:hint="eastAsia"/>
          <w:color w:val="auto"/>
        </w:rPr>
        <w:t>的</w:t>
      </w:r>
      <w:r w:rsidR="00180027" w:rsidRPr="00765CCA">
        <w:rPr>
          <w:rFonts w:hint="eastAsia"/>
          <w:color w:val="auto"/>
        </w:rPr>
        <w:t>费</w:t>
      </w:r>
      <w:r w:rsidR="00180027">
        <w:rPr>
          <w:rFonts w:hint="eastAsia"/>
          <w:color w:val="auto"/>
        </w:rPr>
        <w:t>用，若超过</w:t>
      </w:r>
      <w:r w:rsidR="00765CCA">
        <w:rPr>
          <w:rFonts w:hint="eastAsia"/>
          <w:color w:val="auto"/>
        </w:rPr>
        <w:t>30</w:t>
      </w:r>
      <w:r w:rsidR="00180027">
        <w:rPr>
          <w:rFonts w:hint="eastAsia"/>
          <w:color w:val="auto"/>
        </w:rPr>
        <w:t>天，则无赎回费用</w:t>
      </w:r>
      <w:r w:rsidR="00765CCA">
        <w:rPr>
          <w:rFonts w:hint="eastAsia"/>
          <w:color w:val="auto"/>
        </w:rPr>
        <w:t>。</w:t>
      </w:r>
      <w:r w:rsidR="00180027">
        <w:rPr>
          <w:rFonts w:hint="eastAsia"/>
          <w:color w:val="auto"/>
        </w:rPr>
        <w:t>总体来看，该产品不论是从</w:t>
      </w:r>
      <w:r w:rsidR="00C44EDE">
        <w:rPr>
          <w:rFonts w:hint="eastAsia"/>
          <w:color w:val="auto"/>
        </w:rPr>
        <w:t>1</w:t>
      </w:r>
      <w:r w:rsidR="00C44EDE">
        <w:rPr>
          <w:rFonts w:hint="eastAsia"/>
          <w:color w:val="auto"/>
        </w:rPr>
        <w:t>元</w:t>
      </w:r>
      <w:proofErr w:type="gramStart"/>
      <w:r w:rsidR="00C44EDE">
        <w:rPr>
          <w:rFonts w:hint="eastAsia"/>
          <w:color w:val="auto"/>
        </w:rPr>
        <w:t>起购</w:t>
      </w:r>
      <w:r w:rsidR="00180027">
        <w:rPr>
          <w:rFonts w:hint="eastAsia"/>
          <w:color w:val="auto"/>
        </w:rPr>
        <w:t>还是</w:t>
      </w:r>
      <w:proofErr w:type="gramEnd"/>
      <w:r w:rsidR="009314D1">
        <w:rPr>
          <w:rFonts w:hint="eastAsia"/>
          <w:color w:val="auto"/>
        </w:rPr>
        <w:t>费率</w:t>
      </w:r>
      <w:r w:rsidR="00180027">
        <w:rPr>
          <w:rFonts w:hint="eastAsia"/>
          <w:color w:val="auto"/>
        </w:rPr>
        <w:t>水平上来看，均</w:t>
      </w:r>
      <w:r w:rsidR="00C44EDE">
        <w:rPr>
          <w:rFonts w:hint="eastAsia"/>
          <w:color w:val="auto"/>
        </w:rPr>
        <w:t>体现出了互联网的</w:t>
      </w:r>
      <w:r w:rsidR="009314D1">
        <w:rPr>
          <w:rFonts w:hint="eastAsia"/>
          <w:color w:val="auto"/>
        </w:rPr>
        <w:t>普惠优势</w:t>
      </w:r>
      <w:r w:rsidR="00180027">
        <w:rPr>
          <w:rFonts w:hint="eastAsia"/>
          <w:color w:val="auto"/>
        </w:rPr>
        <w:t>。</w:t>
      </w:r>
    </w:p>
    <w:tbl>
      <w:tblPr>
        <w:tblW w:w="7725" w:type="dxa"/>
        <w:tblInd w:w="3119"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523"/>
        <w:gridCol w:w="1240"/>
        <w:gridCol w:w="1241"/>
        <w:gridCol w:w="1240"/>
        <w:gridCol w:w="1240"/>
        <w:gridCol w:w="1241"/>
      </w:tblGrid>
      <w:tr w:rsidR="00C01486" w:rsidTr="00D92D8A">
        <w:trPr>
          <w:cantSplit/>
          <w:trHeight w:val="65"/>
        </w:trPr>
        <w:tc>
          <w:tcPr>
            <w:tcW w:w="7725" w:type="dxa"/>
            <w:gridSpan w:val="6"/>
            <w:tcBorders>
              <w:bottom w:val="single" w:sz="6" w:space="0" w:color="FF6600"/>
            </w:tcBorders>
            <w:shd w:val="clear" w:color="auto" w:fill="auto"/>
            <w:vAlign w:val="center"/>
          </w:tcPr>
          <w:p w:rsidR="00C01486" w:rsidRPr="00656031" w:rsidRDefault="00C01486" w:rsidP="00D92D8A">
            <w:pPr>
              <w:pStyle w:val="SubTitleLargeTable"/>
              <w:pBdr>
                <w:top w:val="none" w:sz="0" w:space="0" w:color="auto"/>
              </w:pBdr>
              <w:rPr>
                <w:rFonts w:ascii="宋体" w:eastAsia="宋体" w:hAnsi="宋体"/>
                <w:b w:val="0"/>
                <w:color w:val="FF6600"/>
              </w:rPr>
            </w:pPr>
            <w:r w:rsidRPr="00656031">
              <w:rPr>
                <w:color w:val="FF6600"/>
              </w:rPr>
              <w:t>图表</w:t>
            </w:r>
            <w:r>
              <w:rPr>
                <w:rFonts w:hint="eastAsia"/>
                <w:color w:val="FF6600"/>
              </w:rPr>
              <w:t>2</w:t>
            </w:r>
            <w:r w:rsidRPr="00656031">
              <w:rPr>
                <w:rFonts w:hint="eastAsia"/>
                <w:color w:val="FF6600"/>
              </w:rPr>
              <w:t>：</w:t>
            </w:r>
            <w:r w:rsidR="00180027" w:rsidRPr="00180027">
              <w:rPr>
                <w:rFonts w:hint="eastAsia"/>
                <w:color w:val="FF6600"/>
              </w:rPr>
              <w:t>新华一路财富灵活配置混合</w:t>
            </w:r>
            <w:r w:rsidR="00BB3278" w:rsidRPr="00BB3278">
              <w:rPr>
                <w:rFonts w:hint="eastAsia"/>
                <w:color w:val="FF6600"/>
              </w:rPr>
              <w:t>基金</w:t>
            </w:r>
            <w:r>
              <w:rPr>
                <w:rFonts w:hint="eastAsia"/>
                <w:color w:val="FF6600"/>
              </w:rPr>
              <w:t>简介</w:t>
            </w:r>
          </w:p>
        </w:tc>
      </w:tr>
      <w:tr w:rsidR="00C01486" w:rsidTr="00D92D8A">
        <w:trPr>
          <w:cantSplit/>
          <w:trHeight w:val="276"/>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基金名称</w:t>
            </w:r>
          </w:p>
        </w:tc>
        <w:tc>
          <w:tcPr>
            <w:tcW w:w="6202" w:type="dxa"/>
            <w:gridSpan w:val="5"/>
            <w:tcBorders>
              <w:lef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sz w:val="15"/>
                <w:szCs w:val="15"/>
              </w:rPr>
            </w:pPr>
            <w:r w:rsidRPr="005E5DC2">
              <w:rPr>
                <w:rFonts w:ascii="宋体" w:eastAsia="宋体" w:hAnsi="宋体"/>
                <w:sz w:val="15"/>
                <w:szCs w:val="15"/>
              </w:rPr>
              <w:t></w:t>
            </w:r>
            <w:r w:rsidRPr="005E5DC2">
              <w:rPr>
                <w:rFonts w:ascii="宋体" w:eastAsia="宋体" w:hAnsi="宋体"/>
                <w:sz w:val="15"/>
                <w:szCs w:val="15"/>
              </w:rPr>
              <w:tab/>
            </w:r>
            <w:r w:rsidR="00180027" w:rsidRPr="00180027">
              <w:rPr>
                <w:rFonts w:ascii="宋体" w:eastAsia="宋体" w:hAnsi="宋体" w:hint="eastAsia"/>
                <w:sz w:val="15"/>
                <w:szCs w:val="15"/>
              </w:rPr>
              <w:t>新华一路财富灵活配置混合</w:t>
            </w:r>
            <w:r w:rsidR="00BB3278" w:rsidRPr="00BB3278">
              <w:rPr>
                <w:rFonts w:ascii="宋体" w:eastAsia="宋体" w:hAnsi="宋体" w:hint="eastAsia"/>
                <w:sz w:val="15"/>
                <w:szCs w:val="15"/>
              </w:rPr>
              <w:t>基金</w:t>
            </w:r>
          </w:p>
        </w:tc>
      </w:tr>
      <w:tr w:rsidR="00C01486" w:rsidTr="00D92D8A">
        <w:trPr>
          <w:cantSplit/>
          <w:trHeight w:val="269"/>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市场代码</w:t>
            </w:r>
          </w:p>
        </w:tc>
        <w:tc>
          <w:tcPr>
            <w:tcW w:w="1240" w:type="dxa"/>
            <w:tcBorders>
              <w:left w:val="single" w:sz="6" w:space="0" w:color="FF6600"/>
              <w:right w:val="single" w:sz="6" w:space="0" w:color="FF6600"/>
            </w:tcBorders>
            <w:shd w:val="clear" w:color="auto" w:fill="auto"/>
            <w:vAlign w:val="center"/>
          </w:tcPr>
          <w:p w:rsidR="00C01486" w:rsidRPr="00A61267" w:rsidRDefault="00C01486" w:rsidP="00180027">
            <w:pPr>
              <w:snapToGrid w:val="0"/>
              <w:spacing w:line="10" w:lineRule="atLeast"/>
              <w:jc w:val="center"/>
              <w:rPr>
                <w:rFonts w:ascii="宋体" w:eastAsia="宋体" w:hAnsi="宋体"/>
                <w:sz w:val="15"/>
                <w:szCs w:val="15"/>
              </w:rPr>
            </w:pPr>
            <w:r>
              <w:rPr>
                <w:rFonts w:ascii="宋体" w:eastAsia="宋体" w:hAnsi="宋体" w:hint="eastAsia"/>
                <w:sz w:val="15"/>
                <w:szCs w:val="15"/>
              </w:rPr>
              <w:t>000</w:t>
            </w:r>
            <w:r w:rsidR="00BB3278">
              <w:rPr>
                <w:rFonts w:ascii="宋体" w:eastAsia="宋体" w:hAnsi="宋体" w:hint="eastAsia"/>
                <w:sz w:val="15"/>
                <w:szCs w:val="15"/>
              </w:rPr>
              <w:t>5</w:t>
            </w:r>
            <w:r w:rsidR="00180027">
              <w:rPr>
                <w:rFonts w:ascii="宋体" w:eastAsia="宋体" w:hAnsi="宋体" w:hint="eastAsia"/>
                <w:sz w:val="15"/>
                <w:szCs w:val="15"/>
              </w:rPr>
              <w:t>84</w:t>
            </w:r>
          </w:p>
        </w:tc>
        <w:tc>
          <w:tcPr>
            <w:tcW w:w="1241" w:type="dxa"/>
            <w:tcBorders>
              <w:left w:val="single" w:sz="6" w:space="0" w:color="FF6600"/>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基金公司</w:t>
            </w:r>
          </w:p>
        </w:tc>
        <w:tc>
          <w:tcPr>
            <w:tcW w:w="1240" w:type="dxa"/>
            <w:tcBorders>
              <w:left w:val="single" w:sz="6" w:space="0" w:color="FF6600"/>
              <w:right w:val="single" w:sz="6" w:space="0" w:color="FF6600"/>
            </w:tcBorders>
            <w:shd w:val="clear" w:color="auto" w:fill="auto"/>
            <w:vAlign w:val="center"/>
          </w:tcPr>
          <w:p w:rsidR="00C01486" w:rsidRPr="00A61267" w:rsidRDefault="00180027" w:rsidP="00D92D8A">
            <w:pPr>
              <w:snapToGrid w:val="0"/>
              <w:spacing w:line="10" w:lineRule="atLeast"/>
              <w:jc w:val="center"/>
              <w:rPr>
                <w:rFonts w:ascii="宋体" w:eastAsia="宋体" w:hAnsi="宋体"/>
                <w:sz w:val="15"/>
                <w:szCs w:val="15"/>
              </w:rPr>
            </w:pPr>
            <w:r w:rsidRPr="00180027">
              <w:rPr>
                <w:rFonts w:ascii="宋体" w:eastAsia="宋体" w:hAnsi="宋体" w:hint="eastAsia"/>
                <w:sz w:val="15"/>
                <w:szCs w:val="15"/>
              </w:rPr>
              <w:t>新华基金</w:t>
            </w:r>
          </w:p>
        </w:tc>
        <w:tc>
          <w:tcPr>
            <w:tcW w:w="1240" w:type="dxa"/>
            <w:tcBorders>
              <w:left w:val="single" w:sz="6" w:space="0" w:color="FF6600"/>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基金经理</w:t>
            </w:r>
          </w:p>
        </w:tc>
        <w:tc>
          <w:tcPr>
            <w:tcW w:w="1241" w:type="dxa"/>
            <w:tcBorders>
              <w:left w:val="single" w:sz="6" w:space="0" w:color="FF6600"/>
            </w:tcBorders>
            <w:shd w:val="clear" w:color="auto" w:fill="auto"/>
            <w:vAlign w:val="center"/>
          </w:tcPr>
          <w:p w:rsidR="00C01486" w:rsidRPr="00A61267" w:rsidRDefault="00C44EDE" w:rsidP="00BB3278">
            <w:pPr>
              <w:snapToGrid w:val="0"/>
              <w:spacing w:line="10" w:lineRule="atLeast"/>
              <w:jc w:val="center"/>
              <w:rPr>
                <w:rFonts w:ascii="宋体" w:eastAsia="宋体" w:hAnsi="宋体"/>
                <w:sz w:val="15"/>
                <w:szCs w:val="15"/>
              </w:rPr>
            </w:pPr>
            <w:proofErr w:type="gramStart"/>
            <w:r w:rsidRPr="00C44EDE">
              <w:rPr>
                <w:rFonts w:ascii="宋体" w:eastAsia="宋体" w:hAnsi="宋体" w:hint="eastAsia"/>
                <w:sz w:val="15"/>
                <w:szCs w:val="15"/>
              </w:rPr>
              <w:t>贲兴振</w:t>
            </w:r>
            <w:proofErr w:type="gramEnd"/>
          </w:p>
        </w:tc>
      </w:tr>
      <w:tr w:rsidR="00C01486" w:rsidTr="00D92D8A">
        <w:trPr>
          <w:cantSplit/>
          <w:trHeight w:val="1244"/>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投资策略</w:t>
            </w:r>
          </w:p>
        </w:tc>
        <w:tc>
          <w:tcPr>
            <w:tcW w:w="6202" w:type="dxa"/>
            <w:gridSpan w:val="5"/>
            <w:tcBorders>
              <w:left w:val="single" w:sz="6" w:space="0" w:color="FF6600"/>
            </w:tcBorders>
            <w:shd w:val="clear" w:color="auto" w:fill="auto"/>
            <w:vAlign w:val="center"/>
          </w:tcPr>
          <w:p w:rsidR="00C01486" w:rsidRPr="00A61267" w:rsidRDefault="00C44EDE" w:rsidP="00C44EDE">
            <w:pPr>
              <w:snapToGrid w:val="0"/>
              <w:spacing w:line="10" w:lineRule="atLeast"/>
              <w:ind w:firstLineChars="200" w:firstLine="300"/>
              <w:rPr>
                <w:rFonts w:ascii="宋体" w:eastAsia="宋体" w:hAnsi="宋体"/>
                <w:sz w:val="15"/>
                <w:szCs w:val="15"/>
              </w:rPr>
            </w:pPr>
            <w:r w:rsidRPr="00C44EDE">
              <w:rPr>
                <w:rFonts w:ascii="宋体" w:eastAsia="宋体" w:hAnsi="宋体" w:hint="eastAsia"/>
                <w:sz w:val="15"/>
                <w:szCs w:val="15"/>
              </w:rPr>
              <w:t>在股票投资策略方面，把握趋势跟随及绝对收益两个核心</w:t>
            </w:r>
            <w:r>
              <w:rPr>
                <w:rFonts w:ascii="宋体" w:eastAsia="宋体" w:hAnsi="宋体" w:hint="eastAsia"/>
                <w:sz w:val="15"/>
                <w:szCs w:val="15"/>
              </w:rPr>
              <w:t>。</w:t>
            </w:r>
            <w:r w:rsidRPr="00C44EDE">
              <w:rPr>
                <w:rFonts w:ascii="宋体" w:eastAsia="宋体" w:hAnsi="宋体" w:hint="eastAsia"/>
                <w:sz w:val="15"/>
                <w:szCs w:val="15"/>
              </w:rPr>
              <w:t>趋势跟随策略以期在某行业或个股出现趋势性机会时，积极跟随其市场表现</w:t>
            </w:r>
            <w:r>
              <w:rPr>
                <w:rFonts w:ascii="宋体" w:eastAsia="宋体" w:hAnsi="宋体" w:hint="eastAsia"/>
                <w:sz w:val="15"/>
                <w:szCs w:val="15"/>
              </w:rPr>
              <w:t>。</w:t>
            </w:r>
            <w:r w:rsidRPr="00C44EDE">
              <w:rPr>
                <w:rFonts w:ascii="宋体" w:eastAsia="宋体" w:hAnsi="宋体" w:hint="eastAsia"/>
                <w:sz w:val="15"/>
                <w:szCs w:val="15"/>
              </w:rPr>
              <w:t>绝对收益策略</w:t>
            </w:r>
            <w:r>
              <w:rPr>
                <w:rFonts w:ascii="宋体" w:eastAsia="宋体" w:hAnsi="宋体" w:hint="eastAsia"/>
                <w:sz w:val="15"/>
                <w:szCs w:val="15"/>
              </w:rPr>
              <w:t>包括：</w:t>
            </w:r>
            <w:r w:rsidRPr="00C44EDE">
              <w:rPr>
                <w:rFonts w:ascii="宋体" w:eastAsia="宋体" w:hAnsi="宋体" w:hint="eastAsia"/>
                <w:sz w:val="15"/>
                <w:szCs w:val="15"/>
              </w:rPr>
              <w:t>1)定向增发策略</w:t>
            </w:r>
            <w:r>
              <w:rPr>
                <w:rFonts w:ascii="宋体" w:eastAsia="宋体" w:hAnsi="宋体" w:hint="eastAsia"/>
                <w:sz w:val="15"/>
                <w:szCs w:val="15"/>
              </w:rPr>
              <w:t>；</w:t>
            </w:r>
            <w:r w:rsidRPr="00C44EDE">
              <w:rPr>
                <w:rFonts w:ascii="宋体" w:eastAsia="宋体" w:hAnsi="宋体" w:hint="eastAsia"/>
                <w:sz w:val="15"/>
                <w:szCs w:val="15"/>
              </w:rPr>
              <w:t>2)事件驱动策略，通过分析影响上市公司股价波动的突发性事件，把握市场对上市公司的定价与实际价值之间的显著差异，以获取事件发生前后价格与价值之间的回归收益</w:t>
            </w:r>
            <w:r>
              <w:rPr>
                <w:rFonts w:ascii="宋体" w:eastAsia="宋体" w:hAnsi="宋体" w:hint="eastAsia"/>
                <w:sz w:val="15"/>
                <w:szCs w:val="15"/>
              </w:rPr>
              <w:t>；</w:t>
            </w:r>
            <w:r w:rsidRPr="00C44EDE">
              <w:rPr>
                <w:rFonts w:ascii="宋体" w:eastAsia="宋体" w:hAnsi="宋体" w:hint="eastAsia"/>
                <w:sz w:val="15"/>
                <w:szCs w:val="15"/>
              </w:rPr>
              <w:t>3)大宗交易策略，通过大宗交易市场折价买入股票，较适当的时间内通过二级市场卖出，赚取大宗交易价格与二级市场价格之间的套利空间。</w:t>
            </w:r>
          </w:p>
        </w:tc>
      </w:tr>
      <w:tr w:rsidR="00C01486" w:rsidTr="00D92D8A">
        <w:trPr>
          <w:cantSplit/>
          <w:trHeight w:val="273"/>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业绩比较基准</w:t>
            </w:r>
          </w:p>
        </w:tc>
        <w:tc>
          <w:tcPr>
            <w:tcW w:w="6202" w:type="dxa"/>
            <w:gridSpan w:val="5"/>
            <w:tcBorders>
              <w:left w:val="single" w:sz="6" w:space="0" w:color="FF6600"/>
            </w:tcBorders>
            <w:shd w:val="clear" w:color="auto" w:fill="auto"/>
            <w:vAlign w:val="center"/>
          </w:tcPr>
          <w:p w:rsidR="00C01486" w:rsidRPr="00A61267" w:rsidRDefault="00C44EDE" w:rsidP="00D92D8A">
            <w:pPr>
              <w:snapToGrid w:val="0"/>
              <w:spacing w:line="10" w:lineRule="atLeast"/>
              <w:jc w:val="center"/>
              <w:rPr>
                <w:rFonts w:ascii="宋体" w:eastAsia="宋体" w:hAnsi="宋体"/>
                <w:sz w:val="15"/>
                <w:szCs w:val="15"/>
              </w:rPr>
            </w:pPr>
            <w:proofErr w:type="gramStart"/>
            <w:r>
              <w:rPr>
                <w:rFonts w:ascii="宋体" w:eastAsia="宋体" w:hAnsi="宋体" w:hint="eastAsia"/>
                <w:sz w:val="15"/>
                <w:szCs w:val="15"/>
              </w:rPr>
              <w:t>年化收益率</w:t>
            </w:r>
            <w:proofErr w:type="gramEnd"/>
            <w:r>
              <w:rPr>
                <w:rFonts w:ascii="宋体" w:eastAsia="宋体" w:hAnsi="宋体" w:hint="eastAsia"/>
                <w:sz w:val="15"/>
                <w:szCs w:val="15"/>
              </w:rPr>
              <w:t>1</w:t>
            </w:r>
            <w:r w:rsidR="00CA4B1F">
              <w:rPr>
                <w:rFonts w:ascii="宋体" w:eastAsia="宋体" w:hAnsi="宋体" w:hint="eastAsia"/>
                <w:sz w:val="15"/>
                <w:szCs w:val="15"/>
              </w:rPr>
              <w:t>0%</w:t>
            </w:r>
          </w:p>
        </w:tc>
      </w:tr>
    </w:tbl>
    <w:p w:rsidR="009206FD" w:rsidRPr="00961E7F" w:rsidRDefault="009206FD" w:rsidP="009206FD">
      <w:pPr>
        <w:pStyle w:val="FootnoteNoline"/>
        <w:rPr>
          <w:rFonts w:ascii="楷体" w:eastAsia="楷体" w:hAnsi="楷体"/>
          <w:color w:val="FF6600"/>
        </w:rPr>
      </w:pPr>
      <w:r w:rsidRPr="00961E7F">
        <w:rPr>
          <w:rFonts w:ascii="楷体" w:eastAsia="楷体" w:hAnsi="楷体" w:hint="eastAsia"/>
          <w:color w:val="FF6600"/>
        </w:rPr>
        <w:t>来源：</w:t>
      </w:r>
      <w:proofErr w:type="gramStart"/>
      <w:r w:rsidRPr="00961E7F">
        <w:rPr>
          <w:rFonts w:ascii="楷体" w:eastAsia="楷体" w:hAnsi="楷体" w:hint="eastAsia"/>
          <w:color w:val="FF6600"/>
        </w:rPr>
        <w:t>凯</w:t>
      </w:r>
      <w:proofErr w:type="gramEnd"/>
      <w:r w:rsidRPr="00961E7F">
        <w:rPr>
          <w:rFonts w:ascii="楷体" w:eastAsia="楷体" w:hAnsi="楷体" w:hint="eastAsia"/>
          <w:color w:val="FF6600"/>
        </w:rPr>
        <w:t>石财富工场</w:t>
      </w:r>
    </w:p>
    <w:p w:rsidR="00C01486" w:rsidRPr="006C59A6" w:rsidRDefault="00C44EDE" w:rsidP="00C01486">
      <w:pPr>
        <w:pStyle w:val="ab"/>
        <w:numPr>
          <w:ilvl w:val="4"/>
          <w:numId w:val="1"/>
        </w:numPr>
        <w:spacing w:after="163"/>
        <w:rPr>
          <w:b/>
          <w:color w:val="auto"/>
        </w:rPr>
      </w:pPr>
      <w:r w:rsidRPr="00C44EDE">
        <w:rPr>
          <w:rFonts w:hint="eastAsia"/>
          <w:b/>
          <w:color w:val="auto"/>
        </w:rPr>
        <w:t>华泰柏瑞创新升级混合</w:t>
      </w:r>
      <w:r w:rsidR="00C01486">
        <w:rPr>
          <w:rFonts w:hint="eastAsia"/>
          <w:b/>
          <w:color w:val="auto"/>
        </w:rPr>
        <w:t>基金</w:t>
      </w:r>
    </w:p>
    <w:p w:rsidR="00C01486" w:rsidRDefault="0062013C" w:rsidP="00C01486">
      <w:pPr>
        <w:pStyle w:val="ab"/>
        <w:numPr>
          <w:ilvl w:val="5"/>
          <w:numId w:val="2"/>
        </w:numPr>
        <w:spacing w:after="163"/>
        <w:ind w:left="4140" w:hanging="369"/>
        <w:rPr>
          <w:color w:val="auto"/>
        </w:rPr>
      </w:pPr>
      <w:r>
        <w:rPr>
          <w:rFonts w:hint="eastAsia"/>
          <w:b/>
          <w:color w:val="auto"/>
        </w:rPr>
        <w:lastRenderedPageBreak/>
        <w:t>关注经济结构调整与转型。</w:t>
      </w:r>
      <w:r w:rsidRPr="0062013C">
        <w:rPr>
          <w:rFonts w:hint="eastAsia"/>
          <w:color w:val="auto"/>
        </w:rPr>
        <w:t>该基金</w:t>
      </w:r>
      <w:r>
        <w:rPr>
          <w:rFonts w:hint="eastAsia"/>
          <w:color w:val="auto"/>
        </w:rPr>
        <w:t>招募说明书中提到，</w:t>
      </w:r>
      <w:r w:rsidRPr="0062013C">
        <w:rPr>
          <w:rFonts w:hint="eastAsia"/>
          <w:color w:val="auto"/>
        </w:rPr>
        <w:t>将采取积极、主动的资产配置策略，精选与经济结构调整与转型主题直接相关的上市公司</w:t>
      </w:r>
      <w:r>
        <w:rPr>
          <w:rFonts w:hint="eastAsia"/>
          <w:color w:val="auto"/>
        </w:rPr>
        <w:t>进行投资</w:t>
      </w:r>
      <w:r w:rsidR="00113EA7">
        <w:rPr>
          <w:rFonts w:hint="eastAsia"/>
          <w:color w:val="auto"/>
        </w:rPr>
        <w:t>。</w:t>
      </w:r>
      <w:r w:rsidR="00113EA7" w:rsidRPr="00113EA7">
        <w:rPr>
          <w:rFonts w:hint="eastAsia"/>
          <w:color w:val="auto"/>
        </w:rPr>
        <w:t>创新升级主题</w:t>
      </w:r>
      <w:r w:rsidR="00113EA7">
        <w:rPr>
          <w:rFonts w:hint="eastAsia"/>
          <w:color w:val="auto"/>
        </w:rPr>
        <w:t>主要涵盖两个方面，</w:t>
      </w:r>
      <w:r w:rsidR="00113EA7" w:rsidRPr="00113EA7">
        <w:rPr>
          <w:rFonts w:hint="eastAsia"/>
          <w:color w:val="auto"/>
        </w:rPr>
        <w:t>分</w:t>
      </w:r>
      <w:r w:rsidR="00113EA7">
        <w:rPr>
          <w:rFonts w:hint="eastAsia"/>
          <w:color w:val="auto"/>
        </w:rPr>
        <w:t>别是</w:t>
      </w:r>
      <w:r w:rsidR="00113EA7" w:rsidRPr="00113EA7">
        <w:rPr>
          <w:rFonts w:hint="eastAsia"/>
          <w:color w:val="auto"/>
        </w:rPr>
        <w:t>新兴产业的创新和传统产业的改造升级</w:t>
      </w:r>
      <w:r w:rsidR="00113EA7">
        <w:rPr>
          <w:rFonts w:hint="eastAsia"/>
          <w:color w:val="auto"/>
        </w:rPr>
        <w:t>，具体主要包括</w:t>
      </w:r>
      <w:r w:rsidR="00113EA7" w:rsidRPr="00113EA7">
        <w:rPr>
          <w:rFonts w:hint="eastAsia"/>
          <w:color w:val="auto"/>
        </w:rPr>
        <w:t>电子元器件、计算机、传媒</w:t>
      </w:r>
      <w:r w:rsidR="00113EA7">
        <w:rPr>
          <w:rFonts w:hint="eastAsia"/>
          <w:color w:val="auto"/>
        </w:rPr>
        <w:t>、</w:t>
      </w:r>
      <w:r w:rsidR="00113EA7" w:rsidRPr="00113EA7">
        <w:rPr>
          <w:rFonts w:hint="eastAsia"/>
          <w:color w:val="auto"/>
        </w:rPr>
        <w:t>通信</w:t>
      </w:r>
      <w:r w:rsidR="00113EA7">
        <w:rPr>
          <w:rFonts w:hint="eastAsia"/>
          <w:color w:val="auto"/>
        </w:rPr>
        <w:t>等</w:t>
      </w:r>
      <w:r w:rsidR="00113EA7">
        <w:rPr>
          <w:rFonts w:hint="eastAsia"/>
          <w:color w:val="auto"/>
        </w:rPr>
        <w:t>TMT</w:t>
      </w:r>
      <w:r w:rsidR="00113EA7" w:rsidRPr="00113EA7">
        <w:rPr>
          <w:rFonts w:hint="eastAsia"/>
          <w:color w:val="auto"/>
        </w:rPr>
        <w:t>行业</w:t>
      </w:r>
      <w:r w:rsidR="00113EA7">
        <w:rPr>
          <w:rFonts w:hint="eastAsia"/>
          <w:color w:val="auto"/>
        </w:rPr>
        <w:t>，以及</w:t>
      </w:r>
      <w:r w:rsidR="00113EA7" w:rsidRPr="00113EA7">
        <w:rPr>
          <w:rFonts w:hint="eastAsia"/>
          <w:color w:val="auto"/>
        </w:rPr>
        <w:t>节能环保、生物医药、生物育种、高端装备制造、新能源、新材料、新能源汽车、家用电器、金融服务、商贸零售、纺织服装、机械设备等与</w:t>
      </w:r>
      <w:r w:rsidR="00113EA7" w:rsidRPr="00113EA7">
        <w:rPr>
          <w:rFonts w:hint="eastAsia"/>
          <w:color w:val="auto"/>
        </w:rPr>
        <w:t>TMT</w:t>
      </w:r>
      <w:r w:rsidR="00113EA7" w:rsidRPr="00113EA7">
        <w:rPr>
          <w:rFonts w:hint="eastAsia"/>
          <w:color w:val="auto"/>
        </w:rPr>
        <w:t>行业融合的新兴产业和传统行业</w:t>
      </w:r>
      <w:r w:rsidR="00113EA7">
        <w:rPr>
          <w:rFonts w:hint="eastAsia"/>
          <w:color w:val="auto"/>
        </w:rPr>
        <w:t>。</w:t>
      </w:r>
      <w:r w:rsidR="00113EA7" w:rsidRPr="0016353A">
        <w:rPr>
          <w:rFonts w:ascii="楷体" w:eastAsia="楷体" w:hAnsi="楷体" w:cs="楷体_GB2312" w:hint="eastAsia"/>
          <w:szCs w:val="21"/>
          <w:lang w:val="en-US"/>
        </w:rPr>
        <w:t>在中国经济结构处于转型之际，以TMT为代表的新兴产业的逐渐发展壮大是符合中国经济增长和产业变迁的客观规律的</w:t>
      </w:r>
      <w:r w:rsidR="00113EA7">
        <w:rPr>
          <w:rFonts w:ascii="楷体" w:eastAsia="楷体" w:hAnsi="楷体" w:cs="楷体_GB2312" w:hint="eastAsia"/>
          <w:szCs w:val="21"/>
          <w:lang w:val="en-US"/>
        </w:rPr>
        <w:t>，</w:t>
      </w:r>
      <w:r w:rsidR="00113EA7" w:rsidRPr="0016353A">
        <w:rPr>
          <w:rFonts w:ascii="楷体" w:eastAsia="楷体" w:hAnsi="楷体" w:cs="楷体_GB2312" w:hint="eastAsia"/>
          <w:szCs w:val="21"/>
          <w:lang w:val="en-US"/>
        </w:rPr>
        <w:t>政策惠及</w:t>
      </w:r>
      <w:r w:rsidR="0038678D">
        <w:rPr>
          <w:rFonts w:ascii="楷体" w:eastAsia="楷体" w:hAnsi="楷体" w:cs="楷体_GB2312" w:hint="eastAsia"/>
          <w:szCs w:val="21"/>
          <w:lang w:val="en-US"/>
        </w:rPr>
        <w:t>和</w:t>
      </w:r>
      <w:r w:rsidR="00113EA7" w:rsidRPr="0016353A">
        <w:rPr>
          <w:rFonts w:ascii="楷体" w:eastAsia="楷体" w:hAnsi="楷体" w:cs="楷体_GB2312" w:hint="eastAsia"/>
          <w:szCs w:val="21"/>
          <w:lang w:val="en-US"/>
        </w:rPr>
        <w:t>市场需求</w:t>
      </w:r>
      <w:r w:rsidR="00113EA7">
        <w:rPr>
          <w:rFonts w:ascii="楷体" w:eastAsia="楷体" w:hAnsi="楷体" w:cs="楷体_GB2312" w:hint="eastAsia"/>
          <w:szCs w:val="21"/>
          <w:lang w:val="en-US"/>
        </w:rPr>
        <w:t>将</w:t>
      </w:r>
      <w:r w:rsidR="001159E7">
        <w:rPr>
          <w:rFonts w:ascii="楷体" w:eastAsia="楷体" w:hAnsi="楷体" w:cs="楷体_GB2312" w:hint="eastAsia"/>
          <w:szCs w:val="21"/>
          <w:lang w:val="en-US"/>
        </w:rPr>
        <w:t>为</w:t>
      </w:r>
      <w:r w:rsidR="00113EA7" w:rsidRPr="0016353A">
        <w:rPr>
          <w:rFonts w:ascii="楷体" w:eastAsia="楷体" w:hAnsi="楷体" w:cs="楷体_GB2312" w:hint="eastAsia"/>
          <w:szCs w:val="21"/>
          <w:lang w:val="en-US"/>
        </w:rPr>
        <w:t>推动以TMT为代表的新兴产业</w:t>
      </w:r>
      <w:r w:rsidR="001159E7">
        <w:rPr>
          <w:rFonts w:ascii="楷体" w:eastAsia="楷体" w:hAnsi="楷体" w:cs="楷体_GB2312" w:hint="eastAsia"/>
          <w:szCs w:val="21"/>
          <w:lang w:val="en-US"/>
        </w:rPr>
        <w:t>的发展提供</w:t>
      </w:r>
      <w:r w:rsidR="00113EA7" w:rsidRPr="0016353A">
        <w:rPr>
          <w:rFonts w:ascii="楷体" w:eastAsia="楷体" w:hAnsi="楷体" w:cs="楷体_GB2312" w:hint="eastAsia"/>
          <w:szCs w:val="21"/>
          <w:lang w:val="en-US"/>
        </w:rPr>
        <w:t>双重动力。</w:t>
      </w:r>
    </w:p>
    <w:p w:rsidR="00C01486" w:rsidRPr="00C74464" w:rsidRDefault="00615F03" w:rsidP="00C01486">
      <w:pPr>
        <w:pStyle w:val="ab"/>
        <w:numPr>
          <w:ilvl w:val="5"/>
          <w:numId w:val="2"/>
        </w:numPr>
        <w:spacing w:after="163"/>
        <w:ind w:left="4140" w:hanging="369"/>
        <w:rPr>
          <w:color w:val="auto"/>
        </w:rPr>
      </w:pPr>
      <w:r>
        <w:rPr>
          <w:rFonts w:hint="eastAsia"/>
          <w:b/>
          <w:color w:val="auto"/>
        </w:rPr>
        <w:t>基金经理管理经验丰富</w:t>
      </w:r>
      <w:r w:rsidR="00C01486">
        <w:rPr>
          <w:rFonts w:hint="eastAsia"/>
          <w:b/>
          <w:color w:val="auto"/>
        </w:rPr>
        <w:t>。</w:t>
      </w:r>
      <w:r w:rsidR="00C01486" w:rsidRPr="00C74464">
        <w:rPr>
          <w:rFonts w:hint="eastAsia"/>
          <w:color w:val="auto"/>
        </w:rPr>
        <w:t>该基金</w:t>
      </w:r>
      <w:r w:rsidR="0056791E">
        <w:rPr>
          <w:rFonts w:hint="eastAsia"/>
          <w:color w:val="auto"/>
        </w:rPr>
        <w:t>采用双基金经理制，</w:t>
      </w:r>
      <w:r w:rsidR="005C0D1D" w:rsidRPr="0016353A">
        <w:rPr>
          <w:rFonts w:ascii="楷体" w:eastAsia="楷体" w:hAnsi="楷体" w:cs="楷体_GB2312" w:hint="eastAsia"/>
          <w:szCs w:val="21"/>
          <w:lang w:val="en-US"/>
        </w:rPr>
        <w:t>拟任基金</w:t>
      </w:r>
      <w:r w:rsidR="005C0D1D" w:rsidRPr="0016353A">
        <w:rPr>
          <w:rFonts w:ascii="楷体" w:eastAsia="楷体" w:hAnsi="楷体" w:cs="楷体_GB2312"/>
          <w:szCs w:val="21"/>
          <w:lang w:val="en-US"/>
        </w:rPr>
        <w:t>经理</w:t>
      </w:r>
      <w:r w:rsidR="005C0D1D" w:rsidRPr="0016353A">
        <w:rPr>
          <w:rFonts w:ascii="楷体" w:eastAsia="楷体" w:hAnsi="楷体" w:cs="楷体_GB2312" w:hint="eastAsia"/>
          <w:szCs w:val="21"/>
          <w:lang w:val="en-US"/>
        </w:rPr>
        <w:t>张慧</w:t>
      </w:r>
      <w:r w:rsidR="005C0D1D" w:rsidRPr="0016353A">
        <w:rPr>
          <w:rFonts w:ascii="楷体" w:eastAsia="楷体" w:hAnsi="楷体" w:cs="楷体_GB2312"/>
          <w:szCs w:val="21"/>
          <w:lang w:val="en-US"/>
        </w:rPr>
        <w:t>、</w:t>
      </w:r>
      <w:r w:rsidR="005C0D1D" w:rsidRPr="0016353A">
        <w:rPr>
          <w:rFonts w:ascii="楷体" w:eastAsia="楷体" w:hAnsi="楷体" w:cs="楷体_GB2312" w:hint="eastAsia"/>
          <w:szCs w:val="21"/>
          <w:lang w:val="en-US"/>
        </w:rPr>
        <w:t>沈雪峰</w:t>
      </w:r>
      <w:r w:rsidR="005C0D1D">
        <w:rPr>
          <w:rFonts w:ascii="楷体" w:eastAsia="楷体" w:hAnsi="楷体" w:cs="楷体_GB2312" w:hint="eastAsia"/>
          <w:szCs w:val="21"/>
          <w:lang w:val="en-US"/>
        </w:rPr>
        <w:t>管理基金的历史业绩均较好</w:t>
      </w:r>
      <w:r w:rsidR="005C0D1D" w:rsidRPr="0016353A">
        <w:rPr>
          <w:rFonts w:ascii="楷体" w:eastAsia="楷体" w:hAnsi="楷体" w:cs="楷体_GB2312"/>
          <w:szCs w:val="21"/>
          <w:lang w:val="en-US"/>
        </w:rPr>
        <w:t>。</w:t>
      </w:r>
      <w:r w:rsidR="005C0D1D" w:rsidRPr="0016353A">
        <w:rPr>
          <w:rFonts w:ascii="楷体" w:eastAsia="楷体" w:hAnsi="楷体" w:cs="楷体_GB2312" w:hint="eastAsia"/>
          <w:szCs w:val="21"/>
          <w:lang w:val="en-US"/>
        </w:rPr>
        <w:t>其中</w:t>
      </w:r>
      <w:r w:rsidR="005C0D1D">
        <w:rPr>
          <w:rFonts w:ascii="楷体" w:eastAsia="楷体" w:hAnsi="楷体" w:cs="楷体_GB2312" w:hint="eastAsia"/>
          <w:szCs w:val="21"/>
          <w:lang w:val="en-US"/>
        </w:rPr>
        <w:t>基金经理</w:t>
      </w:r>
      <w:r w:rsidR="005C0D1D" w:rsidRPr="0016353A">
        <w:rPr>
          <w:rFonts w:ascii="楷体" w:eastAsia="楷体" w:hAnsi="楷体" w:cs="楷体_GB2312" w:hint="eastAsia"/>
          <w:szCs w:val="21"/>
          <w:lang w:val="en-US"/>
        </w:rPr>
        <w:t>张慧</w:t>
      </w:r>
      <w:r w:rsidR="003F0650" w:rsidRPr="003F0650">
        <w:rPr>
          <w:rFonts w:ascii="楷体" w:eastAsia="楷体" w:hAnsi="楷体" w:cs="楷体_GB2312" w:hint="eastAsia"/>
          <w:szCs w:val="21"/>
          <w:lang w:val="en-US"/>
        </w:rPr>
        <w:t>2010年6月加入华泰柏瑞基金</w:t>
      </w:r>
      <w:r w:rsidR="003F0650">
        <w:rPr>
          <w:rFonts w:ascii="楷体" w:eastAsia="楷体" w:hAnsi="楷体" w:cs="楷体_GB2312" w:hint="eastAsia"/>
          <w:szCs w:val="21"/>
          <w:lang w:val="en-US"/>
        </w:rPr>
        <w:t>，</w:t>
      </w:r>
      <w:r w:rsidR="005C0D1D">
        <w:rPr>
          <w:rFonts w:ascii="楷体" w:eastAsia="楷体" w:hAnsi="楷体" w:cs="楷体_GB2312" w:hint="eastAsia"/>
          <w:szCs w:val="21"/>
          <w:lang w:val="en-US"/>
        </w:rPr>
        <w:t>自</w:t>
      </w:r>
      <w:r w:rsidR="005C0D1D" w:rsidRPr="0016353A">
        <w:rPr>
          <w:rFonts w:ascii="楷体" w:eastAsia="楷体" w:hAnsi="楷体" w:cs="楷体_GB2312"/>
          <w:szCs w:val="21"/>
          <w:lang w:val="en-US"/>
        </w:rPr>
        <w:t>2013</w:t>
      </w:r>
      <w:r w:rsidR="005C0D1D" w:rsidRPr="0016353A">
        <w:rPr>
          <w:rFonts w:ascii="楷体" w:eastAsia="楷体" w:hAnsi="楷体" w:cs="楷体_GB2312" w:hint="eastAsia"/>
          <w:szCs w:val="21"/>
          <w:lang w:val="en-US"/>
        </w:rPr>
        <w:t>年</w:t>
      </w:r>
      <w:r w:rsidR="005C0D1D" w:rsidRPr="0016353A">
        <w:rPr>
          <w:rFonts w:ascii="楷体" w:eastAsia="楷体" w:hAnsi="楷体" w:cs="楷体_GB2312"/>
          <w:szCs w:val="21"/>
          <w:lang w:val="en-US"/>
        </w:rPr>
        <w:t>9</w:t>
      </w:r>
      <w:r w:rsidR="005C0D1D" w:rsidRPr="0016353A">
        <w:rPr>
          <w:rFonts w:ascii="楷体" w:eastAsia="楷体" w:hAnsi="楷体" w:cs="楷体_GB2312" w:hint="eastAsia"/>
          <w:szCs w:val="21"/>
          <w:lang w:val="en-US"/>
        </w:rPr>
        <w:t>月起任华泰柏瑞盛世中国股票型证券投资基金的基金经理，截至今年</w:t>
      </w:r>
      <w:r w:rsidR="003F0650">
        <w:rPr>
          <w:rFonts w:ascii="楷体" w:eastAsia="楷体" w:hAnsi="楷体" w:cs="楷体_GB2312" w:hint="eastAsia"/>
          <w:szCs w:val="21"/>
          <w:lang w:val="en-US"/>
        </w:rPr>
        <w:t>4</w:t>
      </w:r>
      <w:r w:rsidR="005C0D1D" w:rsidRPr="0016353A">
        <w:rPr>
          <w:rFonts w:ascii="楷体" w:eastAsia="楷体" w:hAnsi="楷体" w:cs="楷体_GB2312" w:hint="eastAsia"/>
          <w:szCs w:val="21"/>
          <w:lang w:val="en-US"/>
        </w:rPr>
        <w:t>月8</w:t>
      </w:r>
      <w:r w:rsidR="003F0650">
        <w:rPr>
          <w:rFonts w:ascii="楷体" w:eastAsia="楷体" w:hAnsi="楷体" w:cs="楷体_GB2312" w:hint="eastAsia"/>
          <w:szCs w:val="21"/>
          <w:lang w:val="en-US"/>
        </w:rPr>
        <w:t>日，任职期间净值增长水平</w:t>
      </w:r>
      <w:r w:rsidR="005C0D1D" w:rsidRPr="0016353A">
        <w:rPr>
          <w:rFonts w:ascii="楷体" w:eastAsia="楷体" w:hAnsi="楷体" w:cs="楷体_GB2312" w:hint="eastAsia"/>
          <w:szCs w:val="21"/>
          <w:lang w:val="en-US"/>
        </w:rPr>
        <w:t>处于</w:t>
      </w:r>
      <w:r w:rsidR="003F0650">
        <w:rPr>
          <w:rFonts w:ascii="楷体" w:eastAsia="楷体" w:hAnsi="楷体" w:cs="楷体_GB2312" w:hint="eastAsia"/>
          <w:szCs w:val="21"/>
          <w:lang w:val="en-US"/>
        </w:rPr>
        <w:t>同期股票型基金前三分之一</w:t>
      </w:r>
      <w:r w:rsidR="005C0D1D" w:rsidRPr="0016353A">
        <w:rPr>
          <w:rFonts w:ascii="楷体" w:eastAsia="楷体" w:hAnsi="楷体" w:cs="楷体_GB2312" w:hint="eastAsia"/>
          <w:szCs w:val="21"/>
          <w:lang w:val="en-US"/>
        </w:rPr>
        <w:t>。沈雪峰自2013年2月起任华泰柏瑞价值增长股票型证券投资基金的基金经理，截至今年</w:t>
      </w:r>
      <w:r w:rsidR="00DF035E">
        <w:rPr>
          <w:rFonts w:ascii="楷体" w:eastAsia="楷体" w:hAnsi="楷体" w:cs="楷体_GB2312" w:hint="eastAsia"/>
          <w:szCs w:val="21"/>
          <w:lang w:val="en-US"/>
        </w:rPr>
        <w:t>4</w:t>
      </w:r>
      <w:r w:rsidR="005C0D1D" w:rsidRPr="0016353A">
        <w:rPr>
          <w:rFonts w:ascii="楷体" w:eastAsia="楷体" w:hAnsi="楷体" w:cs="楷体_GB2312" w:hint="eastAsia"/>
          <w:szCs w:val="21"/>
          <w:lang w:val="en-US"/>
        </w:rPr>
        <w:t>月8日任职期间的回报率为</w:t>
      </w:r>
      <w:r w:rsidR="00DF035E">
        <w:rPr>
          <w:rFonts w:ascii="楷体" w:eastAsia="楷体" w:hAnsi="楷体" w:cs="楷体_GB2312" w:hint="eastAsia"/>
          <w:szCs w:val="21"/>
          <w:lang w:val="en-US"/>
        </w:rPr>
        <w:t>7.99</w:t>
      </w:r>
      <w:r w:rsidR="005C0D1D" w:rsidRPr="0016353A">
        <w:rPr>
          <w:rFonts w:ascii="楷体" w:eastAsia="楷体" w:hAnsi="楷体" w:cs="楷体_GB2312" w:hint="eastAsia"/>
          <w:szCs w:val="21"/>
          <w:lang w:val="en-US"/>
        </w:rPr>
        <w:t>%，</w:t>
      </w:r>
      <w:r w:rsidR="00DF035E">
        <w:rPr>
          <w:rFonts w:ascii="楷体" w:eastAsia="楷体" w:hAnsi="楷体" w:cs="楷体_GB2312" w:hint="eastAsia"/>
          <w:szCs w:val="21"/>
          <w:lang w:val="en-US"/>
        </w:rPr>
        <w:t>在同期股票型基金中同样位列前30%</w:t>
      </w:r>
      <w:r w:rsidR="00390878">
        <w:rPr>
          <w:rFonts w:hint="eastAsia"/>
          <w:color w:val="auto"/>
        </w:rPr>
        <w:t>。</w:t>
      </w:r>
    </w:p>
    <w:tbl>
      <w:tblPr>
        <w:tblW w:w="7725" w:type="dxa"/>
        <w:tblInd w:w="3119"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523"/>
        <w:gridCol w:w="1240"/>
        <w:gridCol w:w="1241"/>
        <w:gridCol w:w="1240"/>
        <w:gridCol w:w="1240"/>
        <w:gridCol w:w="1241"/>
      </w:tblGrid>
      <w:tr w:rsidR="00C01486" w:rsidTr="00D92D8A">
        <w:trPr>
          <w:cantSplit/>
          <w:trHeight w:val="65"/>
        </w:trPr>
        <w:tc>
          <w:tcPr>
            <w:tcW w:w="7725" w:type="dxa"/>
            <w:gridSpan w:val="6"/>
            <w:tcBorders>
              <w:bottom w:val="single" w:sz="6" w:space="0" w:color="FF6600"/>
            </w:tcBorders>
            <w:shd w:val="clear" w:color="auto" w:fill="auto"/>
            <w:vAlign w:val="center"/>
          </w:tcPr>
          <w:p w:rsidR="00C01486" w:rsidRPr="00656031" w:rsidRDefault="00C01486" w:rsidP="00D92D8A">
            <w:pPr>
              <w:pStyle w:val="SubTitleLargeTable"/>
              <w:pBdr>
                <w:top w:val="none" w:sz="0" w:space="0" w:color="auto"/>
              </w:pBdr>
              <w:rPr>
                <w:rFonts w:ascii="宋体" w:eastAsia="宋体" w:hAnsi="宋体"/>
                <w:b w:val="0"/>
                <w:color w:val="FF6600"/>
              </w:rPr>
            </w:pPr>
            <w:r w:rsidRPr="00656031">
              <w:rPr>
                <w:color w:val="FF6600"/>
              </w:rPr>
              <w:t>图表</w:t>
            </w:r>
            <w:r>
              <w:rPr>
                <w:rFonts w:hint="eastAsia"/>
                <w:color w:val="FF6600"/>
              </w:rPr>
              <w:t>3</w:t>
            </w:r>
            <w:r w:rsidRPr="00656031">
              <w:rPr>
                <w:rFonts w:hint="eastAsia"/>
                <w:color w:val="FF6600"/>
              </w:rPr>
              <w:t>：</w:t>
            </w:r>
            <w:bookmarkStart w:id="0" w:name="_Hlk383095179"/>
            <w:r w:rsidR="00DF035E" w:rsidRPr="00DF035E">
              <w:rPr>
                <w:rFonts w:hint="eastAsia"/>
                <w:color w:val="FF6600"/>
              </w:rPr>
              <w:t>华泰柏瑞创新升级混合</w:t>
            </w:r>
            <w:r w:rsidR="00390878" w:rsidRPr="00390878">
              <w:rPr>
                <w:rFonts w:hint="eastAsia"/>
                <w:color w:val="FF6600"/>
              </w:rPr>
              <w:t>基金</w:t>
            </w:r>
            <w:bookmarkEnd w:id="0"/>
            <w:r>
              <w:rPr>
                <w:rFonts w:hint="eastAsia"/>
                <w:color w:val="FF6600"/>
              </w:rPr>
              <w:t>简介</w:t>
            </w:r>
          </w:p>
        </w:tc>
      </w:tr>
      <w:tr w:rsidR="00C01486" w:rsidTr="00D92D8A">
        <w:trPr>
          <w:cantSplit/>
          <w:trHeight w:val="276"/>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基金名称</w:t>
            </w:r>
          </w:p>
        </w:tc>
        <w:tc>
          <w:tcPr>
            <w:tcW w:w="6202" w:type="dxa"/>
            <w:gridSpan w:val="5"/>
            <w:tcBorders>
              <w:lef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sz w:val="15"/>
                <w:szCs w:val="15"/>
              </w:rPr>
            </w:pPr>
            <w:r w:rsidRPr="0009018B">
              <w:rPr>
                <w:rFonts w:ascii="宋体" w:eastAsia="宋体" w:hAnsi="宋体"/>
                <w:sz w:val="15"/>
                <w:szCs w:val="15"/>
              </w:rPr>
              <w:t></w:t>
            </w:r>
            <w:r w:rsidR="00DF035E" w:rsidRPr="00DF035E">
              <w:rPr>
                <w:rFonts w:ascii="宋体" w:eastAsia="宋体" w:hAnsi="宋体" w:hint="eastAsia"/>
                <w:sz w:val="15"/>
                <w:szCs w:val="15"/>
              </w:rPr>
              <w:t>华泰柏瑞创新升级混合</w:t>
            </w:r>
            <w:r w:rsidR="00390878" w:rsidRPr="00390878">
              <w:rPr>
                <w:rFonts w:ascii="宋体" w:eastAsia="宋体" w:hAnsi="宋体" w:hint="eastAsia"/>
                <w:sz w:val="15"/>
                <w:szCs w:val="15"/>
              </w:rPr>
              <w:t>基金</w:t>
            </w:r>
          </w:p>
        </w:tc>
      </w:tr>
      <w:tr w:rsidR="00C01486" w:rsidTr="00D92D8A">
        <w:trPr>
          <w:cantSplit/>
          <w:trHeight w:val="269"/>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市场代码</w:t>
            </w:r>
          </w:p>
        </w:tc>
        <w:tc>
          <w:tcPr>
            <w:tcW w:w="1240" w:type="dxa"/>
            <w:tcBorders>
              <w:left w:val="single" w:sz="6" w:space="0" w:color="FF6600"/>
              <w:right w:val="single" w:sz="6" w:space="0" w:color="FF6600"/>
            </w:tcBorders>
            <w:shd w:val="clear" w:color="auto" w:fill="auto"/>
            <w:vAlign w:val="center"/>
          </w:tcPr>
          <w:p w:rsidR="00C01486" w:rsidRPr="00A61267" w:rsidRDefault="00C01486" w:rsidP="00DF035E">
            <w:pPr>
              <w:snapToGrid w:val="0"/>
              <w:spacing w:line="10" w:lineRule="atLeast"/>
              <w:jc w:val="center"/>
              <w:rPr>
                <w:rFonts w:ascii="宋体" w:eastAsia="宋体" w:hAnsi="宋体"/>
                <w:sz w:val="15"/>
                <w:szCs w:val="15"/>
              </w:rPr>
            </w:pPr>
            <w:r>
              <w:rPr>
                <w:rFonts w:ascii="宋体" w:eastAsia="宋体" w:hAnsi="宋体" w:hint="eastAsia"/>
                <w:sz w:val="15"/>
                <w:szCs w:val="15"/>
              </w:rPr>
              <w:t>0005</w:t>
            </w:r>
            <w:r w:rsidR="00DF035E">
              <w:rPr>
                <w:rFonts w:ascii="宋体" w:eastAsia="宋体" w:hAnsi="宋体" w:hint="eastAsia"/>
                <w:sz w:val="15"/>
                <w:szCs w:val="15"/>
              </w:rPr>
              <w:t>66</w:t>
            </w:r>
          </w:p>
        </w:tc>
        <w:tc>
          <w:tcPr>
            <w:tcW w:w="1241" w:type="dxa"/>
            <w:tcBorders>
              <w:left w:val="single" w:sz="6" w:space="0" w:color="FF6600"/>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基金公司</w:t>
            </w:r>
          </w:p>
        </w:tc>
        <w:tc>
          <w:tcPr>
            <w:tcW w:w="1240" w:type="dxa"/>
            <w:tcBorders>
              <w:left w:val="single" w:sz="6" w:space="0" w:color="FF6600"/>
              <w:right w:val="single" w:sz="6" w:space="0" w:color="FF6600"/>
            </w:tcBorders>
            <w:shd w:val="clear" w:color="auto" w:fill="auto"/>
            <w:vAlign w:val="center"/>
          </w:tcPr>
          <w:p w:rsidR="00C01486" w:rsidRPr="00A61267" w:rsidRDefault="00DF035E" w:rsidP="00D92D8A">
            <w:pPr>
              <w:snapToGrid w:val="0"/>
              <w:spacing w:line="10" w:lineRule="atLeast"/>
              <w:jc w:val="center"/>
              <w:rPr>
                <w:rFonts w:ascii="宋体" w:eastAsia="宋体" w:hAnsi="宋体"/>
                <w:sz w:val="15"/>
                <w:szCs w:val="15"/>
              </w:rPr>
            </w:pPr>
            <w:r w:rsidRPr="00DF035E">
              <w:rPr>
                <w:rFonts w:ascii="宋体" w:eastAsia="宋体" w:hAnsi="宋体" w:hint="eastAsia"/>
                <w:sz w:val="15"/>
                <w:szCs w:val="15"/>
              </w:rPr>
              <w:t>华泰柏瑞</w:t>
            </w:r>
          </w:p>
        </w:tc>
        <w:tc>
          <w:tcPr>
            <w:tcW w:w="1240" w:type="dxa"/>
            <w:tcBorders>
              <w:left w:val="single" w:sz="6" w:space="0" w:color="FF6600"/>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基金经理</w:t>
            </w:r>
          </w:p>
        </w:tc>
        <w:tc>
          <w:tcPr>
            <w:tcW w:w="1241" w:type="dxa"/>
            <w:tcBorders>
              <w:left w:val="single" w:sz="6" w:space="0" w:color="FF6600"/>
            </w:tcBorders>
            <w:shd w:val="clear" w:color="auto" w:fill="auto"/>
            <w:vAlign w:val="center"/>
          </w:tcPr>
          <w:p w:rsidR="00C01486" w:rsidRPr="00A61267" w:rsidRDefault="00DF035E" w:rsidP="00D92D8A">
            <w:pPr>
              <w:snapToGrid w:val="0"/>
              <w:spacing w:line="10" w:lineRule="atLeast"/>
              <w:jc w:val="center"/>
              <w:rPr>
                <w:rFonts w:ascii="宋体" w:eastAsia="宋体" w:hAnsi="宋体"/>
                <w:sz w:val="15"/>
                <w:szCs w:val="15"/>
              </w:rPr>
            </w:pPr>
            <w:r w:rsidRPr="00DF035E">
              <w:rPr>
                <w:rFonts w:ascii="宋体" w:eastAsia="宋体" w:hAnsi="宋体" w:hint="eastAsia"/>
                <w:sz w:val="15"/>
                <w:szCs w:val="15"/>
              </w:rPr>
              <w:t>张慧、沈雪峰</w:t>
            </w:r>
          </w:p>
        </w:tc>
      </w:tr>
      <w:tr w:rsidR="00C01486" w:rsidRPr="00A218F5" w:rsidTr="00D92D8A">
        <w:trPr>
          <w:cantSplit/>
          <w:trHeight w:val="1005"/>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投资策略</w:t>
            </w:r>
          </w:p>
        </w:tc>
        <w:tc>
          <w:tcPr>
            <w:tcW w:w="6202" w:type="dxa"/>
            <w:gridSpan w:val="5"/>
            <w:tcBorders>
              <w:left w:val="single" w:sz="6" w:space="0" w:color="FF6600"/>
            </w:tcBorders>
            <w:shd w:val="clear" w:color="auto" w:fill="auto"/>
            <w:vAlign w:val="center"/>
          </w:tcPr>
          <w:p w:rsidR="00C01486" w:rsidRPr="00A61267" w:rsidRDefault="00DF035E" w:rsidP="00DF035E">
            <w:pPr>
              <w:snapToGrid w:val="0"/>
              <w:spacing w:line="10" w:lineRule="atLeast"/>
              <w:ind w:firstLineChars="200" w:firstLine="300"/>
              <w:rPr>
                <w:rFonts w:ascii="宋体" w:eastAsia="宋体" w:hAnsi="宋体"/>
                <w:sz w:val="15"/>
                <w:szCs w:val="15"/>
              </w:rPr>
            </w:pPr>
            <w:r w:rsidRPr="00DF035E">
              <w:rPr>
                <w:rFonts w:ascii="宋体" w:eastAsia="宋体" w:hAnsi="宋体" w:hint="eastAsia"/>
                <w:sz w:val="15"/>
                <w:szCs w:val="15"/>
              </w:rPr>
              <w:t>基金将采取积极、主动的资产配置策略，</w:t>
            </w:r>
            <w:r>
              <w:rPr>
                <w:rFonts w:ascii="宋体" w:eastAsia="宋体" w:hAnsi="宋体" w:hint="eastAsia"/>
                <w:sz w:val="15"/>
                <w:szCs w:val="15"/>
              </w:rPr>
              <w:t>通过</w:t>
            </w:r>
            <w:r w:rsidRPr="00DF035E">
              <w:rPr>
                <w:rFonts w:ascii="宋体" w:eastAsia="宋体" w:hAnsi="宋体" w:hint="eastAsia"/>
                <w:sz w:val="15"/>
                <w:szCs w:val="15"/>
              </w:rPr>
              <w:t>“自上而下”和“自下而上”相结合的方法</w:t>
            </w:r>
            <w:r>
              <w:rPr>
                <w:rFonts w:ascii="宋体" w:eastAsia="宋体" w:hAnsi="宋体" w:hint="eastAsia"/>
                <w:sz w:val="15"/>
                <w:szCs w:val="15"/>
              </w:rPr>
              <w:t>，根据国家政策、经济周期、行业发展前景等等，</w:t>
            </w:r>
            <w:r w:rsidRPr="00DF035E">
              <w:rPr>
                <w:rFonts w:ascii="宋体" w:eastAsia="宋体" w:hAnsi="宋体" w:hint="eastAsia"/>
                <w:sz w:val="15"/>
                <w:szCs w:val="15"/>
              </w:rPr>
              <w:t>精选与经济结构调整与转型主题直接相关，</w:t>
            </w:r>
            <w:r>
              <w:rPr>
                <w:rFonts w:ascii="宋体" w:eastAsia="宋体" w:hAnsi="宋体" w:hint="eastAsia"/>
                <w:sz w:val="15"/>
                <w:szCs w:val="15"/>
              </w:rPr>
              <w:t>且</w:t>
            </w:r>
            <w:r w:rsidRPr="00DF035E">
              <w:rPr>
                <w:rFonts w:ascii="宋体" w:eastAsia="宋体" w:hAnsi="宋体" w:hint="eastAsia"/>
                <w:sz w:val="15"/>
                <w:szCs w:val="15"/>
              </w:rPr>
              <w:t>具备长期盈利能力提升的上市公司，力求实现基金资产的长期增值。</w:t>
            </w:r>
            <w:r>
              <w:rPr>
                <w:rFonts w:ascii="宋体" w:eastAsia="宋体" w:hAnsi="宋体" w:hint="eastAsia"/>
                <w:sz w:val="15"/>
                <w:szCs w:val="15"/>
              </w:rPr>
              <w:t>该</w:t>
            </w:r>
            <w:r w:rsidRPr="00DF035E">
              <w:rPr>
                <w:rFonts w:ascii="宋体" w:eastAsia="宋体" w:hAnsi="宋体" w:hint="eastAsia"/>
                <w:sz w:val="15"/>
                <w:szCs w:val="15"/>
              </w:rPr>
              <w:t>基金股票资产投资比例占基金资产的30-95%，其中投资于创新升级主题相关的上市公司股票不低于非现金基金资产的80%</w:t>
            </w:r>
            <w:r w:rsidR="00C542F4" w:rsidRPr="00C542F4">
              <w:rPr>
                <w:rFonts w:ascii="宋体" w:eastAsia="宋体" w:hAnsi="宋体" w:hint="eastAsia"/>
                <w:sz w:val="15"/>
                <w:szCs w:val="15"/>
              </w:rPr>
              <w:t>。</w:t>
            </w:r>
          </w:p>
        </w:tc>
      </w:tr>
      <w:tr w:rsidR="00C01486" w:rsidTr="00D92D8A">
        <w:trPr>
          <w:cantSplit/>
          <w:trHeight w:val="273"/>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业绩比较基准</w:t>
            </w:r>
          </w:p>
        </w:tc>
        <w:tc>
          <w:tcPr>
            <w:tcW w:w="6202" w:type="dxa"/>
            <w:gridSpan w:val="5"/>
            <w:tcBorders>
              <w:left w:val="single" w:sz="6" w:space="0" w:color="FF6600"/>
            </w:tcBorders>
            <w:shd w:val="clear" w:color="auto" w:fill="auto"/>
            <w:vAlign w:val="center"/>
          </w:tcPr>
          <w:p w:rsidR="00C01486" w:rsidRPr="00A61267" w:rsidRDefault="00DF035E" w:rsidP="00D92D8A">
            <w:pPr>
              <w:snapToGrid w:val="0"/>
              <w:spacing w:line="10" w:lineRule="atLeast"/>
              <w:jc w:val="center"/>
              <w:rPr>
                <w:rFonts w:ascii="宋体" w:eastAsia="宋体" w:hAnsi="宋体"/>
                <w:sz w:val="15"/>
                <w:szCs w:val="15"/>
              </w:rPr>
            </w:pPr>
            <w:r w:rsidRPr="00DF035E">
              <w:rPr>
                <w:rFonts w:ascii="宋体" w:eastAsia="宋体" w:hAnsi="宋体" w:hint="eastAsia"/>
                <w:sz w:val="15"/>
                <w:szCs w:val="15"/>
              </w:rPr>
              <w:t>中证TMT产业主题指数收益率×20%+中证新兴产业指数收益率×40%+</w:t>
            </w:r>
            <w:proofErr w:type="gramStart"/>
            <w:r w:rsidRPr="00DF035E">
              <w:rPr>
                <w:rFonts w:ascii="宋体" w:eastAsia="宋体" w:hAnsi="宋体" w:hint="eastAsia"/>
                <w:sz w:val="15"/>
                <w:szCs w:val="15"/>
              </w:rPr>
              <w:t>中债总指数</w:t>
            </w:r>
            <w:proofErr w:type="gramEnd"/>
            <w:r w:rsidRPr="00DF035E">
              <w:rPr>
                <w:rFonts w:ascii="宋体" w:eastAsia="宋体" w:hAnsi="宋体" w:hint="eastAsia"/>
                <w:sz w:val="15"/>
                <w:szCs w:val="15"/>
              </w:rPr>
              <w:t>（全价）收益率×40%</w:t>
            </w:r>
          </w:p>
        </w:tc>
      </w:tr>
    </w:tbl>
    <w:p w:rsidR="00C01486" w:rsidRPr="00656031" w:rsidRDefault="00C01486" w:rsidP="00C01486">
      <w:pPr>
        <w:pStyle w:val="FootnoteNoline"/>
        <w:ind w:left="0" w:firstLineChars="2100" w:firstLine="3150"/>
        <w:rPr>
          <w:color w:val="FF6600"/>
        </w:rPr>
      </w:pPr>
      <w:r w:rsidRPr="00656031">
        <w:rPr>
          <w:rFonts w:hint="eastAsia"/>
          <w:color w:val="FF6600"/>
        </w:rPr>
        <w:t>来源：</w:t>
      </w:r>
      <w:proofErr w:type="gramStart"/>
      <w:r w:rsidRPr="00656031">
        <w:rPr>
          <w:rFonts w:hint="eastAsia"/>
          <w:color w:val="FF6600"/>
        </w:rPr>
        <w:t>凯</w:t>
      </w:r>
      <w:proofErr w:type="gramEnd"/>
      <w:r w:rsidRPr="00656031">
        <w:rPr>
          <w:rFonts w:hint="eastAsia"/>
          <w:color w:val="FF6600"/>
        </w:rPr>
        <w:t>石财富工场</w:t>
      </w:r>
    </w:p>
    <w:p w:rsidR="00B10000" w:rsidRPr="00961E7F" w:rsidRDefault="00B10000">
      <w:pPr>
        <w:widowControl/>
        <w:jc w:val="left"/>
        <w:rPr>
          <w:rFonts w:ascii="楷体" w:eastAsia="楷体" w:hAnsi="楷体" w:cs="Times New Roman"/>
          <w:b/>
          <w:kern w:val="0"/>
          <w:szCs w:val="20"/>
          <w:lang w:val="en-GB"/>
        </w:rPr>
      </w:pPr>
      <w:r w:rsidRPr="00961E7F">
        <w:rPr>
          <w:rFonts w:ascii="楷体" w:eastAsia="楷体" w:hAnsi="楷体"/>
          <w:b/>
          <w:kern w:val="0"/>
          <w:szCs w:val="20"/>
          <w:lang w:val="en-GB"/>
        </w:rPr>
        <w:br w:type="page"/>
      </w:r>
    </w:p>
    <w:p w:rsidR="00B10000" w:rsidRPr="00961E7F" w:rsidRDefault="00B10000" w:rsidP="00B10000">
      <w:pPr>
        <w:pStyle w:val="aa"/>
        <w:spacing w:after="312"/>
        <w:rPr>
          <w:rFonts w:ascii="楷体" w:eastAsia="楷体" w:hAnsi="楷体"/>
          <w:b/>
          <w:sz w:val="21"/>
          <w:szCs w:val="21"/>
        </w:rPr>
      </w:pPr>
      <w:r w:rsidRPr="00961E7F">
        <w:rPr>
          <w:rFonts w:ascii="楷体" w:eastAsia="楷体" w:hAnsi="楷体" w:hint="eastAsia"/>
          <w:b/>
          <w:kern w:val="0"/>
          <w:sz w:val="21"/>
          <w:szCs w:val="20"/>
          <w:lang w:val="en-GB"/>
        </w:rPr>
        <w:lastRenderedPageBreak/>
        <w:t>特别声明：</w:t>
      </w:r>
    </w:p>
    <w:p w:rsidR="00B10000" w:rsidRPr="00961E7F" w:rsidRDefault="00B10000" w:rsidP="00A322C5">
      <w:pPr>
        <w:pStyle w:val="aa"/>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961E7F" w:rsidRDefault="00B10000" w:rsidP="00A322C5">
      <w:pPr>
        <w:pStyle w:val="aa"/>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961E7F" w:rsidRDefault="00B10000" w:rsidP="00A322C5">
      <w:pPr>
        <w:pStyle w:val="aa"/>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Default="00537779">
      <w:r>
        <w:pict>
          <v:rect id="_x0000_i1025" style="width:571.2pt;height:2pt" o:hralign="center" o:hrstd="t" o:hrnoshade="t" o:hr="t" fillcolor="#e7a631" stroked="f"/>
        </w:pict>
      </w:r>
    </w:p>
    <w:p w:rsidR="00F17E60" w:rsidRPr="009F7F1E" w:rsidRDefault="00534F82">
      <w:pPr>
        <w:rPr>
          <w:rFonts w:ascii="楷体" w:eastAsia="楷体" w:hAnsi="楷体"/>
          <w:b/>
          <w:lang w:val="en-GB"/>
        </w:rPr>
      </w:pPr>
      <w:r>
        <w:rPr>
          <w:rFonts w:ascii="楷体" w:eastAsia="楷体" w:hAnsi="楷体" w:hint="eastAsia"/>
          <w:b/>
          <w:lang w:val="en-GB"/>
        </w:rPr>
        <w:t xml:space="preserve"> </w:t>
      </w:r>
    </w:p>
    <w:sectPr w:rsidR="00F17E60" w:rsidRPr="009F7F1E" w:rsidSect="00656031">
      <w:headerReference w:type="default" r:id="rId10"/>
      <w:footerReference w:type="default" r:id="rId11"/>
      <w:headerReference w:type="first" r:id="rId12"/>
      <w:footerReference w:type="first" r:id="rId13"/>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180" w:rsidRDefault="00044180" w:rsidP="00B10000">
      <w:r>
        <w:separator/>
      </w:r>
    </w:p>
  </w:endnote>
  <w:endnote w:type="continuationSeparator" w:id="0">
    <w:p w:rsidR="00044180" w:rsidRDefault="00044180"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8A" w:rsidRDefault="00537779">
    <w:pPr>
      <w:pStyle w:val="a4"/>
      <w:jc w:val="center"/>
    </w:pPr>
    <w:r>
      <w:pict>
        <v:rect id="_x0000_i1028" style="width:571.2pt;height:2pt" o:hralign="center" o:hrstd="t" o:hrnoshade="t" o:hr="t" fillcolor="#e7a631" stroked="f"/>
      </w:pict>
    </w:r>
    <w:sdt>
      <w:sdtPr>
        <w:id w:val="280628657"/>
        <w:docPartObj>
          <w:docPartGallery w:val="Page Numbers (Bottom of Page)"/>
          <w:docPartUnique/>
        </w:docPartObj>
      </w:sdtPr>
      <w:sdtContent>
        <w:sdt>
          <w:sdtPr>
            <w:id w:val="280628658"/>
            <w:docPartObj>
              <w:docPartGallery w:val="Page Numbers (Top of Page)"/>
              <w:docPartUnique/>
            </w:docPartObj>
          </w:sdtPr>
          <w:sdtContent>
            <w:r w:rsidR="00D92D8A">
              <w:rPr>
                <w:lang w:val="zh-CN"/>
              </w:rPr>
              <w:t xml:space="preserve"> </w:t>
            </w:r>
            <w:r>
              <w:rPr>
                <w:b/>
                <w:sz w:val="24"/>
                <w:szCs w:val="24"/>
              </w:rPr>
              <w:fldChar w:fldCharType="begin"/>
            </w:r>
            <w:r w:rsidR="00D92D8A">
              <w:rPr>
                <w:b/>
              </w:rPr>
              <w:instrText>PAGE</w:instrText>
            </w:r>
            <w:r>
              <w:rPr>
                <w:b/>
                <w:sz w:val="24"/>
                <w:szCs w:val="24"/>
              </w:rPr>
              <w:fldChar w:fldCharType="separate"/>
            </w:r>
            <w:r w:rsidR="00E14B7F">
              <w:rPr>
                <w:b/>
                <w:noProof/>
              </w:rPr>
              <w:t>2</w:t>
            </w:r>
            <w:r>
              <w:rPr>
                <w:b/>
                <w:sz w:val="24"/>
                <w:szCs w:val="24"/>
              </w:rPr>
              <w:fldChar w:fldCharType="end"/>
            </w:r>
            <w:r w:rsidR="00D92D8A">
              <w:rPr>
                <w:lang w:val="zh-CN"/>
              </w:rPr>
              <w:t xml:space="preserve"> / </w:t>
            </w:r>
            <w:r>
              <w:rPr>
                <w:b/>
                <w:sz w:val="24"/>
                <w:szCs w:val="24"/>
              </w:rPr>
              <w:fldChar w:fldCharType="begin"/>
            </w:r>
            <w:r w:rsidR="00D92D8A">
              <w:rPr>
                <w:b/>
              </w:rPr>
              <w:instrText>NUMPAGES</w:instrText>
            </w:r>
            <w:r>
              <w:rPr>
                <w:b/>
                <w:sz w:val="24"/>
                <w:szCs w:val="24"/>
              </w:rPr>
              <w:fldChar w:fldCharType="separate"/>
            </w:r>
            <w:r w:rsidR="00E14B7F">
              <w:rPr>
                <w:b/>
                <w:noProof/>
              </w:rPr>
              <w:t>4</w:t>
            </w:r>
            <w:r>
              <w:rPr>
                <w:b/>
                <w:sz w:val="24"/>
                <w:szCs w:val="24"/>
              </w:rPr>
              <w:fldChar w:fldCharType="end"/>
            </w:r>
          </w:sdtContent>
        </w:sdt>
      </w:sdtContent>
    </w:sdt>
  </w:p>
  <w:p w:rsidR="00D92D8A" w:rsidRDefault="00D92D8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628659"/>
      <w:docPartObj>
        <w:docPartGallery w:val="Page Numbers (Bottom of Page)"/>
        <w:docPartUnique/>
      </w:docPartObj>
    </w:sdtPr>
    <w:sdtContent>
      <w:sdt>
        <w:sdtPr>
          <w:id w:val="280628660"/>
          <w:docPartObj>
            <w:docPartGallery w:val="Page Numbers (Top of Page)"/>
            <w:docPartUnique/>
          </w:docPartObj>
        </w:sdtPr>
        <w:sdtContent>
          <w:p w:rsidR="00D92D8A" w:rsidRDefault="00537779">
            <w:pPr>
              <w:pStyle w:val="a4"/>
              <w:jc w:val="center"/>
            </w:pPr>
            <w:r>
              <w:pict>
                <v:rect id="_x0000_i1030" style="width:571.2pt;height:2pt" o:hralign="center" o:hrstd="t" o:hrnoshade="t" o:hr="t" fillcolor="#e7a631" stroked="f"/>
              </w:pict>
            </w:r>
            <w:r w:rsidR="00D92D8A">
              <w:rPr>
                <w:lang w:val="zh-CN"/>
              </w:rPr>
              <w:t xml:space="preserve"> </w:t>
            </w:r>
            <w:r>
              <w:rPr>
                <w:b/>
                <w:sz w:val="24"/>
                <w:szCs w:val="24"/>
              </w:rPr>
              <w:fldChar w:fldCharType="begin"/>
            </w:r>
            <w:r w:rsidR="00D92D8A">
              <w:rPr>
                <w:b/>
              </w:rPr>
              <w:instrText>PAGE</w:instrText>
            </w:r>
            <w:r>
              <w:rPr>
                <w:b/>
                <w:sz w:val="24"/>
                <w:szCs w:val="24"/>
              </w:rPr>
              <w:fldChar w:fldCharType="separate"/>
            </w:r>
            <w:r w:rsidR="00831257">
              <w:rPr>
                <w:b/>
                <w:noProof/>
              </w:rPr>
              <w:t>1</w:t>
            </w:r>
            <w:r>
              <w:rPr>
                <w:b/>
                <w:sz w:val="24"/>
                <w:szCs w:val="24"/>
              </w:rPr>
              <w:fldChar w:fldCharType="end"/>
            </w:r>
            <w:r w:rsidR="00D92D8A">
              <w:rPr>
                <w:lang w:val="zh-CN"/>
              </w:rPr>
              <w:t xml:space="preserve"> / </w:t>
            </w:r>
            <w:r>
              <w:rPr>
                <w:b/>
                <w:sz w:val="24"/>
                <w:szCs w:val="24"/>
              </w:rPr>
              <w:fldChar w:fldCharType="begin"/>
            </w:r>
            <w:r w:rsidR="00D92D8A">
              <w:rPr>
                <w:b/>
              </w:rPr>
              <w:instrText>NUMPAGES</w:instrText>
            </w:r>
            <w:r>
              <w:rPr>
                <w:b/>
                <w:sz w:val="24"/>
                <w:szCs w:val="24"/>
              </w:rPr>
              <w:fldChar w:fldCharType="separate"/>
            </w:r>
            <w:r w:rsidR="00831257">
              <w:rPr>
                <w:b/>
                <w:noProof/>
              </w:rPr>
              <w:t>4</w:t>
            </w:r>
            <w:r>
              <w:rPr>
                <w:b/>
                <w:sz w:val="24"/>
                <w:szCs w:val="24"/>
              </w:rPr>
              <w:fldChar w:fldCharType="end"/>
            </w:r>
          </w:p>
        </w:sdtContent>
      </w:sdt>
    </w:sdtContent>
  </w:sdt>
  <w:p w:rsidR="00D92D8A" w:rsidRDefault="00D92D8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180" w:rsidRDefault="00044180" w:rsidP="00B10000">
      <w:r>
        <w:separator/>
      </w:r>
    </w:p>
  </w:footnote>
  <w:footnote w:type="continuationSeparator" w:id="0">
    <w:p w:rsidR="00044180" w:rsidRDefault="00044180"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8A" w:rsidRDefault="00537779"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D92D8A" w:rsidRDefault="00537779" w:rsidP="00B10000">
                  <w:pPr>
                    <w:pStyle w:val="12"/>
                  </w:pPr>
                  <w:r w:rsidRPr="005377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凯石工2.jpg" style="width:4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D92D8A" w:rsidRPr="006E0F3C" w:rsidRDefault="00D92D8A" w:rsidP="00B10000">
                  <w:pPr>
                    <w:pStyle w:val="2"/>
                  </w:pPr>
                  <w:r w:rsidRPr="00E05F78">
                    <w:rPr>
                      <w:rFonts w:hint="eastAsia"/>
                    </w:rPr>
                    <w:t>2</w:t>
                  </w:r>
                  <w:r w:rsidRPr="00E90896">
                    <w:rPr>
                      <w:rFonts w:hint="eastAsia"/>
                    </w:rPr>
                    <w:t>01</w:t>
                  </w:r>
                  <w:r>
                    <w:rPr>
                      <w:rFonts w:hint="eastAsia"/>
                    </w:rPr>
                    <w:t>4</w:t>
                  </w:r>
                  <w:r w:rsidRPr="00E90896">
                    <w:rPr>
                      <w:rFonts w:hint="eastAsia"/>
                    </w:rPr>
                    <w:t>年</w:t>
                  </w:r>
                  <w:r>
                    <w:rPr>
                      <w:rFonts w:hint="eastAsia"/>
                    </w:rPr>
                    <w:t>3</w:t>
                  </w:r>
                  <w:r w:rsidRPr="00E90896">
                    <w:rPr>
                      <w:rFonts w:hint="eastAsia"/>
                    </w:rPr>
                    <w:t>月（</w:t>
                  </w:r>
                  <w:r w:rsidR="002B694D">
                    <w:rPr>
                      <w:rFonts w:hint="eastAsia"/>
                    </w:rPr>
                    <w:t>下</w:t>
                  </w:r>
                  <w:r w:rsidRPr="00E90896">
                    <w:rPr>
                      <w:rFonts w:hint="eastAsia"/>
                    </w:rPr>
                    <w:t>）新发</w:t>
                  </w:r>
                  <w:proofErr w:type="gramStart"/>
                  <w:r w:rsidRPr="00E90896">
                    <w:rPr>
                      <w:rFonts w:hint="eastAsia"/>
                    </w:rPr>
                    <w:t>基金双</w:t>
                  </w:r>
                  <w:proofErr w:type="gramEnd"/>
                  <w:r w:rsidRPr="00E90896">
                    <w:rPr>
                      <w:rFonts w:hint="eastAsia"/>
                    </w:rPr>
                    <w:t>周报</w:t>
                  </w:r>
                </w:p>
              </w:txbxContent>
            </v:textbox>
          </v:shape>
        </v:group>
      </w:pict>
    </w:r>
    <w:r>
      <w:pict>
        <v:rect id="_x0000_i1027"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8A" w:rsidRDefault="00537779" w:rsidP="00A322C5">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D92D8A" w:rsidRDefault="00537779" w:rsidP="00B10000">
                  <w:pPr>
                    <w:pStyle w:val="a6"/>
                  </w:pPr>
                  <w:r w:rsidRPr="005377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2"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D92D8A" w:rsidRPr="006E0F3C" w:rsidRDefault="00D92D8A" w:rsidP="008840A4">
                  <w:pPr>
                    <w:pStyle w:val="a5"/>
                    <w:spacing w:after="240"/>
                  </w:pPr>
                  <w:proofErr w:type="gramStart"/>
                  <w:r w:rsidRPr="006E0F3C">
                    <w:rPr>
                      <w:rFonts w:hint="eastAsia"/>
                    </w:rPr>
                    <w:t>凯石工场研究</w:t>
                  </w:r>
                  <w:proofErr w:type="gramEnd"/>
                  <w:r w:rsidRPr="006E0F3C">
                    <w:rPr>
                      <w:rFonts w:hint="eastAsia"/>
                    </w:rPr>
                    <w:t>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D92D8A" w:rsidRPr="006E0F3C" w:rsidRDefault="00D92D8A" w:rsidP="00B10000">
                  <w:pPr>
                    <w:pStyle w:val="a7"/>
                    <w:jc w:val="right"/>
                  </w:pPr>
                  <w:r>
                    <w:rPr>
                      <w:rFonts w:hint="eastAsia"/>
                    </w:rPr>
                    <w:t>2014</w:t>
                  </w:r>
                  <w:r w:rsidRPr="006E0F3C">
                    <w:rPr>
                      <w:rFonts w:hint="eastAsia"/>
                    </w:rPr>
                    <w:t>年</w:t>
                  </w:r>
                  <w:r>
                    <w:rPr>
                      <w:rFonts w:hint="eastAsia"/>
                    </w:rPr>
                    <w:t>0</w:t>
                  </w:r>
                  <w:r w:rsidR="002B694D">
                    <w:rPr>
                      <w:rFonts w:hint="eastAsia"/>
                    </w:rPr>
                    <w:t>4</w:t>
                  </w:r>
                  <w:r w:rsidRPr="006E0F3C">
                    <w:rPr>
                      <w:rFonts w:hint="eastAsia"/>
                    </w:rPr>
                    <w:t>月</w:t>
                  </w:r>
                  <w:r w:rsidR="002B694D">
                    <w:rPr>
                      <w:rFonts w:hint="eastAsia"/>
                    </w:rPr>
                    <w:t>09</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D92D8A" w:rsidRDefault="00D92D8A" w:rsidP="00B10000">
                  <w:pPr>
                    <w:pStyle w:val="a8"/>
                    <w:jc w:val="right"/>
                  </w:pPr>
                  <w:r>
                    <w:rPr>
                      <w:rFonts w:hint="eastAsia"/>
                    </w:rPr>
                    <w:t>2</w:t>
                  </w:r>
                  <w:r w:rsidRPr="006E0F3C">
                    <w:rPr>
                      <w:rFonts w:hint="eastAsia"/>
                    </w:rPr>
                    <w:t>01</w:t>
                  </w:r>
                  <w:r>
                    <w:rPr>
                      <w:rFonts w:hint="eastAsia"/>
                    </w:rPr>
                    <w:t>4</w:t>
                  </w:r>
                  <w:r w:rsidRPr="006E0F3C">
                    <w:rPr>
                      <w:rFonts w:hint="eastAsia"/>
                    </w:rPr>
                    <w:t>年</w:t>
                  </w:r>
                  <w:r>
                    <w:rPr>
                      <w:rFonts w:hint="eastAsia"/>
                    </w:rPr>
                    <w:t>3</w:t>
                  </w:r>
                  <w:r w:rsidRPr="006E0F3C">
                    <w:rPr>
                      <w:rFonts w:hint="eastAsia"/>
                    </w:rPr>
                    <w:t>月</w:t>
                  </w:r>
                  <w:r w:rsidR="002B694D">
                    <w:rPr>
                      <w:rFonts w:hint="eastAsia"/>
                    </w:rPr>
                    <w:t>（下</w:t>
                  </w:r>
                  <w:r>
                    <w:rPr>
                      <w:rFonts w:hint="eastAsia"/>
                    </w:rPr>
                    <w:t>）新发</w:t>
                  </w:r>
                  <w:proofErr w:type="gramStart"/>
                  <w:r>
                    <w:rPr>
                      <w:rFonts w:hint="eastAsia"/>
                    </w:rPr>
                    <w:t>基金双</w:t>
                  </w:r>
                  <w:proofErr w:type="gramEnd"/>
                  <w:r>
                    <w:rPr>
                      <w:rFonts w:hint="eastAsia"/>
                    </w:rPr>
                    <w:t>周报</w:t>
                  </w:r>
                </w:p>
                <w:p w:rsidR="00D92D8A" w:rsidRPr="00624366" w:rsidRDefault="00921D38" w:rsidP="00B10000">
                  <w:pPr>
                    <w:pStyle w:val="a8"/>
                    <w:jc w:val="right"/>
                    <w:rPr>
                      <w:sz w:val="28"/>
                      <w:szCs w:val="28"/>
                    </w:rPr>
                  </w:pPr>
                  <w:r>
                    <w:rPr>
                      <w:rFonts w:hint="eastAsia"/>
                      <w:sz w:val="28"/>
                      <w:szCs w:val="28"/>
                    </w:rPr>
                    <w:t>新发</w:t>
                  </w:r>
                  <w:r w:rsidR="000E2504">
                    <w:rPr>
                      <w:rFonts w:hint="eastAsia"/>
                      <w:sz w:val="28"/>
                      <w:szCs w:val="28"/>
                    </w:rPr>
                    <w:t>市场热情不减，</w:t>
                  </w:r>
                  <w:r>
                    <w:rPr>
                      <w:rFonts w:hint="eastAsia"/>
                      <w:sz w:val="28"/>
                      <w:szCs w:val="28"/>
                    </w:rPr>
                    <w:t>基金扎堆改革升级</w:t>
                  </w:r>
                </w:p>
              </w:txbxContent>
            </v:textbox>
          </v:shape>
          <v:shape id="_x0000_s1030" type="#_x0000_t202" style="position:absolute;left:3246;top:2578;width:7993;height:627" strokecolor="white">
            <v:textbox style="mso-next-textbox:#_x0000_s1030">
              <w:txbxContent>
                <w:p w:rsidR="00D92D8A" w:rsidRPr="006E0F3C" w:rsidRDefault="00D92D8A" w:rsidP="00B10000">
                  <w:pPr>
                    <w:pStyle w:val="a9"/>
                  </w:pPr>
                  <w:r w:rsidRPr="006E0F3C">
                    <w:rPr>
                      <w:rFonts w:hint="eastAsia"/>
                    </w:rPr>
                    <w:t>张</w:t>
                  </w:r>
                  <w:r>
                    <w:rPr>
                      <w:rFonts w:hint="eastAsia"/>
                    </w:rPr>
                    <w:t>慧</w:t>
                  </w:r>
                  <w:r w:rsidRPr="006E0F3C">
                    <w:rPr>
                      <w:rFonts w:hint="eastAsia"/>
                    </w:rPr>
                    <w:t xml:space="preserve"> </w:t>
                  </w:r>
                  <w:r>
                    <w:rPr>
                      <w:rFonts w:hint="eastAsia"/>
                    </w:rPr>
                    <w:t>高级</w:t>
                  </w:r>
                  <w:r w:rsidRPr="006E0F3C">
                    <w:rPr>
                      <w:rFonts w:hint="eastAsia"/>
                    </w:rPr>
                    <w:t xml:space="preserve">分析师 </w:t>
                  </w:r>
                </w:p>
              </w:txbxContent>
            </v:textbox>
          </v:shape>
          <w10:wrap type="none"/>
          <w10:anchorlock/>
        </v:group>
      </w:pict>
    </w:r>
    <w:r>
      <w:pict>
        <v:rect id="_x0000_i1029"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000"/>
    <w:rsid w:val="00006F0B"/>
    <w:rsid w:val="00022A09"/>
    <w:rsid w:val="00034C20"/>
    <w:rsid w:val="00044180"/>
    <w:rsid w:val="0004431B"/>
    <w:rsid w:val="00062B6C"/>
    <w:rsid w:val="000C6809"/>
    <w:rsid w:val="000D7972"/>
    <w:rsid w:val="000E2504"/>
    <w:rsid w:val="00113EA7"/>
    <w:rsid w:val="001159E7"/>
    <w:rsid w:val="001353D4"/>
    <w:rsid w:val="0017786E"/>
    <w:rsid w:val="00180027"/>
    <w:rsid w:val="001C7151"/>
    <w:rsid w:val="0022164A"/>
    <w:rsid w:val="00296D0C"/>
    <w:rsid w:val="002B1C51"/>
    <w:rsid w:val="002B694D"/>
    <w:rsid w:val="002C5E5F"/>
    <w:rsid w:val="00307499"/>
    <w:rsid w:val="00322F07"/>
    <w:rsid w:val="003629A1"/>
    <w:rsid w:val="003812C1"/>
    <w:rsid w:val="0038678D"/>
    <w:rsid w:val="003867C4"/>
    <w:rsid w:val="00386A2A"/>
    <w:rsid w:val="00390878"/>
    <w:rsid w:val="00395822"/>
    <w:rsid w:val="003A6147"/>
    <w:rsid w:val="003F0650"/>
    <w:rsid w:val="003F4FE1"/>
    <w:rsid w:val="00410EFB"/>
    <w:rsid w:val="004342A2"/>
    <w:rsid w:val="00467E79"/>
    <w:rsid w:val="00486443"/>
    <w:rsid w:val="004E032B"/>
    <w:rsid w:val="004E7D3A"/>
    <w:rsid w:val="00534F82"/>
    <w:rsid w:val="00537779"/>
    <w:rsid w:val="00561462"/>
    <w:rsid w:val="0056791E"/>
    <w:rsid w:val="005B3353"/>
    <w:rsid w:val="005C0D1D"/>
    <w:rsid w:val="005E5694"/>
    <w:rsid w:val="00610832"/>
    <w:rsid w:val="00612B5B"/>
    <w:rsid w:val="00612E92"/>
    <w:rsid w:val="00615F03"/>
    <w:rsid w:val="0062013C"/>
    <w:rsid w:val="00623C62"/>
    <w:rsid w:val="00635482"/>
    <w:rsid w:val="00642AA4"/>
    <w:rsid w:val="006515F4"/>
    <w:rsid w:val="00656031"/>
    <w:rsid w:val="006668B4"/>
    <w:rsid w:val="006B1B73"/>
    <w:rsid w:val="006B34CE"/>
    <w:rsid w:val="006B4895"/>
    <w:rsid w:val="006C0F60"/>
    <w:rsid w:val="006E1A2B"/>
    <w:rsid w:val="006E43E6"/>
    <w:rsid w:val="006F6F9C"/>
    <w:rsid w:val="0070710F"/>
    <w:rsid w:val="007143AD"/>
    <w:rsid w:val="00726F1F"/>
    <w:rsid w:val="00765CCA"/>
    <w:rsid w:val="0077272F"/>
    <w:rsid w:val="00785184"/>
    <w:rsid w:val="007A71EB"/>
    <w:rsid w:val="007B3051"/>
    <w:rsid w:val="007B457A"/>
    <w:rsid w:val="007D72D5"/>
    <w:rsid w:val="00807747"/>
    <w:rsid w:val="00807C0B"/>
    <w:rsid w:val="0081385D"/>
    <w:rsid w:val="00814EEF"/>
    <w:rsid w:val="0082600F"/>
    <w:rsid w:val="00831257"/>
    <w:rsid w:val="00873D95"/>
    <w:rsid w:val="008840A4"/>
    <w:rsid w:val="00891E01"/>
    <w:rsid w:val="008A65C5"/>
    <w:rsid w:val="008C4DBE"/>
    <w:rsid w:val="008D6A8F"/>
    <w:rsid w:val="00904892"/>
    <w:rsid w:val="009206FD"/>
    <w:rsid w:val="00921D38"/>
    <w:rsid w:val="00926221"/>
    <w:rsid w:val="009314D1"/>
    <w:rsid w:val="00961E7F"/>
    <w:rsid w:val="009631A8"/>
    <w:rsid w:val="0096561F"/>
    <w:rsid w:val="009B5041"/>
    <w:rsid w:val="009C6B89"/>
    <w:rsid w:val="009C6F68"/>
    <w:rsid w:val="009E37B1"/>
    <w:rsid w:val="009E75FC"/>
    <w:rsid w:val="009F7F1E"/>
    <w:rsid w:val="00A264D4"/>
    <w:rsid w:val="00A322C5"/>
    <w:rsid w:val="00A41EC1"/>
    <w:rsid w:val="00A52C3A"/>
    <w:rsid w:val="00A76C08"/>
    <w:rsid w:val="00AA7E0D"/>
    <w:rsid w:val="00AC62CB"/>
    <w:rsid w:val="00AC7B94"/>
    <w:rsid w:val="00AE4171"/>
    <w:rsid w:val="00B10000"/>
    <w:rsid w:val="00B4373A"/>
    <w:rsid w:val="00B67909"/>
    <w:rsid w:val="00B779DE"/>
    <w:rsid w:val="00B80097"/>
    <w:rsid w:val="00B91B96"/>
    <w:rsid w:val="00BB3278"/>
    <w:rsid w:val="00BB7373"/>
    <w:rsid w:val="00C01486"/>
    <w:rsid w:val="00C06F34"/>
    <w:rsid w:val="00C14D6E"/>
    <w:rsid w:val="00C33798"/>
    <w:rsid w:val="00C371E6"/>
    <w:rsid w:val="00C44EDE"/>
    <w:rsid w:val="00C542F4"/>
    <w:rsid w:val="00C806CE"/>
    <w:rsid w:val="00CA4B1F"/>
    <w:rsid w:val="00CD2B03"/>
    <w:rsid w:val="00CE42E6"/>
    <w:rsid w:val="00D20B3A"/>
    <w:rsid w:val="00D92D8A"/>
    <w:rsid w:val="00DB6DC7"/>
    <w:rsid w:val="00DB78B5"/>
    <w:rsid w:val="00DC2B4E"/>
    <w:rsid w:val="00DC7991"/>
    <w:rsid w:val="00DC7BBB"/>
    <w:rsid w:val="00DD687B"/>
    <w:rsid w:val="00DD7FA1"/>
    <w:rsid w:val="00DF035E"/>
    <w:rsid w:val="00E14B7F"/>
    <w:rsid w:val="00E259A3"/>
    <w:rsid w:val="00E93078"/>
    <w:rsid w:val="00ED4DC8"/>
    <w:rsid w:val="00F14762"/>
    <w:rsid w:val="00F17E60"/>
    <w:rsid w:val="00F37983"/>
    <w:rsid w:val="00F459C1"/>
    <w:rsid w:val="00F8490A"/>
    <w:rsid w:val="00FE3D11"/>
    <w:rsid w:val="00FF52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635482"/>
    <w:pPr>
      <w:ind w:firstLineChars="200" w:firstLine="420"/>
    </w:pPr>
  </w:style>
  <w:style w:type="character" w:styleId="ae">
    <w:name w:val="Hyperlink"/>
    <w:basedOn w:val="a0"/>
    <w:uiPriority w:val="99"/>
    <w:unhideWhenUsed/>
    <w:rsid w:val="003908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5E1E-3DDA-4807-B4C0-C6347C0B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4</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admin</cp:lastModifiedBy>
  <cp:revision>182</cp:revision>
  <dcterms:created xsi:type="dcterms:W3CDTF">2014-03-17T07:41:00Z</dcterms:created>
  <dcterms:modified xsi:type="dcterms:W3CDTF">2014-04-09T07:22:00Z</dcterms:modified>
</cp:coreProperties>
</file>