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B10000" w:rsidRDefault="00294958" w:rsidP="00B10000">
      <w:pPr>
        <w:widowControl/>
        <w:spacing w:after="120" w:line="240" w:lineRule="exact"/>
        <w:ind w:left="3430"/>
        <w:rPr>
          <w:rFonts w:ascii="Arial" w:eastAsia="楷体_GB2312" w:hAnsi="Arial" w:cs="Times New Roman"/>
          <w:b/>
          <w:bCs/>
          <w:color w:val="0070C0"/>
          <w:kern w:val="0"/>
          <w:sz w:val="24"/>
          <w:szCs w:val="20"/>
          <w:lang w:val="en-GB"/>
        </w:rPr>
      </w:pPr>
      <w:r>
        <w:rPr>
          <w:rFonts w:ascii="Arial" w:eastAsia="楷体_GB2312" w:hAnsi="Arial" w:cs="Times New Roman" w:hint="eastAsia"/>
          <w:b/>
          <w:bCs/>
          <w:color w:val="0070C0"/>
          <w:kern w:val="0"/>
          <w:sz w:val="24"/>
          <w:szCs w:val="20"/>
          <w:lang w:val="en-GB"/>
        </w:rPr>
        <w:t>10</w:t>
      </w:r>
      <w:r>
        <w:rPr>
          <w:rFonts w:ascii="Arial" w:eastAsia="楷体_GB2312" w:hAnsi="Arial" w:cs="Times New Roman" w:hint="eastAsia"/>
          <w:b/>
          <w:bCs/>
          <w:color w:val="0070C0"/>
          <w:kern w:val="0"/>
          <w:sz w:val="24"/>
          <w:szCs w:val="20"/>
          <w:lang w:val="en-GB"/>
        </w:rPr>
        <w:t>月发行</w:t>
      </w:r>
      <w:r w:rsidR="00541056">
        <w:rPr>
          <w:rFonts w:ascii="Arial" w:eastAsia="楷体_GB2312" w:hAnsi="Arial" w:cs="Times New Roman" w:hint="eastAsia"/>
          <w:b/>
          <w:bCs/>
          <w:color w:val="0070C0"/>
          <w:kern w:val="0"/>
          <w:sz w:val="24"/>
          <w:szCs w:val="20"/>
          <w:lang w:val="en-GB"/>
        </w:rPr>
        <w:t>情况</w:t>
      </w:r>
      <w:r>
        <w:rPr>
          <w:rFonts w:ascii="Arial" w:eastAsia="楷体_GB2312" w:hAnsi="Arial" w:cs="Times New Roman" w:hint="eastAsia"/>
          <w:b/>
          <w:bCs/>
          <w:color w:val="0070C0"/>
          <w:kern w:val="0"/>
          <w:sz w:val="24"/>
          <w:szCs w:val="20"/>
          <w:lang w:val="en-GB"/>
        </w:rPr>
        <w:t>：</w:t>
      </w:r>
      <w:r w:rsidRPr="00294958">
        <w:rPr>
          <w:rFonts w:ascii="Arial" w:eastAsia="楷体_GB2312" w:hAnsi="Arial" w:cs="Times New Roman" w:hint="eastAsia"/>
          <w:b/>
          <w:bCs/>
          <w:color w:val="0070C0"/>
          <w:kern w:val="0"/>
          <w:sz w:val="24"/>
          <w:szCs w:val="20"/>
          <w:lang w:val="en-GB"/>
        </w:rPr>
        <w:t>投资机会减少，产品发行遇冷</w:t>
      </w:r>
    </w:p>
    <w:p w:rsidR="00737664" w:rsidRDefault="00294958" w:rsidP="00294958">
      <w:pPr>
        <w:pStyle w:val="ab"/>
        <w:numPr>
          <w:ilvl w:val="4"/>
          <w:numId w:val="1"/>
        </w:numPr>
        <w:spacing w:after="163"/>
        <w:rPr>
          <w:color w:val="auto"/>
        </w:rPr>
      </w:pPr>
      <w:r w:rsidRPr="004A094D">
        <w:rPr>
          <w:rFonts w:hint="eastAsia"/>
          <w:color w:val="auto"/>
        </w:rPr>
        <w:t>今年以来震荡波动的股票市场使得权益类产品的投资吸引力大幅下降，于是</w:t>
      </w:r>
      <w:proofErr w:type="gramStart"/>
      <w:r w:rsidR="004A094D" w:rsidRPr="004A094D">
        <w:rPr>
          <w:rFonts w:hint="eastAsia"/>
          <w:color w:val="auto"/>
        </w:rPr>
        <w:t>券商资管</w:t>
      </w:r>
      <w:r w:rsidR="00CF7D8F">
        <w:rPr>
          <w:rFonts w:hint="eastAsia"/>
          <w:color w:val="auto"/>
        </w:rPr>
        <w:t>集体</w:t>
      </w:r>
      <w:proofErr w:type="gramEnd"/>
      <w:r w:rsidRPr="004A094D">
        <w:rPr>
          <w:rFonts w:hint="eastAsia"/>
          <w:color w:val="auto"/>
        </w:rPr>
        <w:t>将目光转向了风险水平相对较低的固定收益类市场，但是自年中以来</w:t>
      </w:r>
      <w:r w:rsidR="00541056">
        <w:rPr>
          <w:rFonts w:hint="eastAsia"/>
          <w:color w:val="auto"/>
        </w:rPr>
        <w:t>，</w:t>
      </w:r>
      <w:r w:rsidRPr="004A094D">
        <w:rPr>
          <w:rFonts w:hint="eastAsia"/>
          <w:color w:val="auto"/>
        </w:rPr>
        <w:t>资金面趋紧的局面始终未曾真正缓解，加上非标业务对</w:t>
      </w:r>
      <w:r w:rsidR="004A094D" w:rsidRPr="004A094D">
        <w:rPr>
          <w:rFonts w:hint="eastAsia"/>
          <w:color w:val="auto"/>
        </w:rPr>
        <w:t>债市</w:t>
      </w:r>
      <w:r w:rsidRPr="004A094D">
        <w:rPr>
          <w:rFonts w:hint="eastAsia"/>
          <w:color w:val="auto"/>
        </w:rPr>
        <w:t>的挤压，固定收益类产品也面临了前所未有的</w:t>
      </w:r>
      <w:r w:rsidR="004A094D" w:rsidRPr="004A094D">
        <w:rPr>
          <w:rFonts w:hint="eastAsia"/>
          <w:color w:val="auto"/>
        </w:rPr>
        <w:t>发行</w:t>
      </w:r>
      <w:r w:rsidRPr="004A094D">
        <w:rPr>
          <w:rFonts w:hint="eastAsia"/>
          <w:color w:val="auto"/>
        </w:rPr>
        <w:t>困境</w:t>
      </w:r>
      <w:r w:rsidR="00CF7D8F">
        <w:rPr>
          <w:rFonts w:hint="eastAsia"/>
          <w:color w:val="auto"/>
        </w:rPr>
        <w:t>。</w:t>
      </w:r>
      <w:r w:rsidRPr="004A094D">
        <w:rPr>
          <w:rFonts w:hint="eastAsia"/>
          <w:color w:val="auto"/>
        </w:rPr>
        <w:t>据媒体报道，有不少</w:t>
      </w:r>
      <w:proofErr w:type="gramStart"/>
      <w:r w:rsidRPr="004A094D">
        <w:rPr>
          <w:rFonts w:hint="eastAsia"/>
          <w:color w:val="auto"/>
        </w:rPr>
        <w:t>券商资管</w:t>
      </w:r>
      <w:r w:rsidR="004A094D" w:rsidRPr="004A094D">
        <w:rPr>
          <w:rFonts w:hint="eastAsia"/>
          <w:color w:val="auto"/>
        </w:rPr>
        <w:t>已经</w:t>
      </w:r>
      <w:proofErr w:type="gramEnd"/>
      <w:r w:rsidR="004A094D" w:rsidRPr="004A094D">
        <w:rPr>
          <w:rFonts w:hint="eastAsia"/>
          <w:color w:val="auto"/>
        </w:rPr>
        <w:t>由以传统的集合理财产品为主打，转向银行通道、项目及结构化融资</w:t>
      </w:r>
      <w:r w:rsidR="00541056">
        <w:rPr>
          <w:rFonts w:hint="eastAsia"/>
          <w:color w:val="auto"/>
        </w:rPr>
        <w:t>等等</w:t>
      </w:r>
      <w:r w:rsidR="004A094D" w:rsidRPr="004A094D">
        <w:rPr>
          <w:rFonts w:hint="eastAsia"/>
          <w:color w:val="auto"/>
        </w:rPr>
        <w:t>的定向业务。</w:t>
      </w:r>
      <w:r w:rsidR="004A094D">
        <w:rPr>
          <w:rFonts w:hint="eastAsia"/>
          <w:color w:val="auto"/>
        </w:rPr>
        <w:t>据不完全统计，</w:t>
      </w:r>
      <w:r w:rsidRPr="004A094D">
        <w:rPr>
          <w:rFonts w:hint="eastAsia"/>
          <w:color w:val="auto"/>
        </w:rPr>
        <w:t>10</w:t>
      </w:r>
      <w:r w:rsidRPr="004A094D">
        <w:rPr>
          <w:rFonts w:hint="eastAsia"/>
          <w:color w:val="auto"/>
        </w:rPr>
        <w:t>月份券商资产管理人共计发行设立集合理财产品</w:t>
      </w:r>
      <w:r w:rsidRPr="004A094D">
        <w:rPr>
          <w:rFonts w:hint="eastAsia"/>
          <w:color w:val="auto"/>
        </w:rPr>
        <w:t>45</w:t>
      </w:r>
      <w:r w:rsidRPr="004A094D">
        <w:rPr>
          <w:rFonts w:hint="eastAsia"/>
          <w:color w:val="auto"/>
        </w:rPr>
        <w:t>只，产品设立数量较上月</w:t>
      </w:r>
      <w:r w:rsidR="00C7559E">
        <w:rPr>
          <w:rFonts w:hint="eastAsia"/>
          <w:color w:val="auto"/>
        </w:rPr>
        <w:t>有所</w:t>
      </w:r>
      <w:r w:rsidRPr="004A094D">
        <w:rPr>
          <w:rFonts w:hint="eastAsia"/>
          <w:color w:val="auto"/>
        </w:rPr>
        <w:t>下降。</w:t>
      </w:r>
      <w:r w:rsidR="00536CB3">
        <w:rPr>
          <w:rFonts w:hint="eastAsia"/>
          <w:color w:val="auto"/>
        </w:rPr>
        <w:t xml:space="preserve"> </w:t>
      </w:r>
    </w:p>
    <w:p w:rsidR="00294958" w:rsidRPr="00BB0E65" w:rsidRDefault="00294958" w:rsidP="00BB0E65">
      <w:pPr>
        <w:pStyle w:val="ab"/>
        <w:numPr>
          <w:ilvl w:val="5"/>
          <w:numId w:val="2"/>
        </w:numPr>
        <w:spacing w:after="163"/>
        <w:ind w:left="4140" w:hanging="369"/>
      </w:pPr>
      <w:r w:rsidRPr="00BB0E65">
        <w:rPr>
          <w:rFonts w:hint="eastAsia"/>
        </w:rPr>
        <w:t>具体来看，</w:t>
      </w:r>
      <w:r w:rsidR="00211E10" w:rsidRPr="00BB0E65">
        <w:rPr>
          <w:rFonts w:hint="eastAsia"/>
        </w:rPr>
        <w:t>10</w:t>
      </w:r>
      <w:r w:rsidR="00211E10" w:rsidRPr="00BB0E65">
        <w:rPr>
          <w:rFonts w:hint="eastAsia"/>
        </w:rPr>
        <w:t>月份</w:t>
      </w:r>
      <w:r w:rsidR="00541056" w:rsidRPr="00BB0E65">
        <w:rPr>
          <w:rFonts w:hint="eastAsia"/>
        </w:rPr>
        <w:t>固定收益策略中</w:t>
      </w:r>
      <w:r w:rsidR="00211E10" w:rsidRPr="00BB0E65">
        <w:rPr>
          <w:rFonts w:hint="eastAsia"/>
        </w:rPr>
        <w:t>，</w:t>
      </w:r>
      <w:r w:rsidR="00C7559E" w:rsidRPr="00BB0E65">
        <w:rPr>
          <w:rFonts w:hint="eastAsia"/>
        </w:rPr>
        <w:t>债券型</w:t>
      </w:r>
      <w:r w:rsidR="00211E10" w:rsidRPr="00BB0E65">
        <w:rPr>
          <w:rFonts w:hint="eastAsia"/>
        </w:rPr>
        <w:t>新增</w:t>
      </w:r>
      <w:r w:rsidR="00C7559E" w:rsidRPr="00BB0E65">
        <w:rPr>
          <w:rFonts w:hint="eastAsia"/>
        </w:rPr>
        <w:t>5</w:t>
      </w:r>
      <w:r w:rsidR="00C7559E" w:rsidRPr="00BB0E65">
        <w:rPr>
          <w:rFonts w:hint="eastAsia"/>
        </w:rPr>
        <w:t>只、货币型</w:t>
      </w:r>
      <w:r w:rsidR="00C7559E" w:rsidRPr="00BB0E65">
        <w:rPr>
          <w:rFonts w:hint="eastAsia"/>
        </w:rPr>
        <w:t>5</w:t>
      </w:r>
      <w:r w:rsidR="00C7559E" w:rsidRPr="00BB0E65">
        <w:rPr>
          <w:rFonts w:hint="eastAsia"/>
        </w:rPr>
        <w:t>只、</w:t>
      </w:r>
      <w:r w:rsidRPr="00BB0E65">
        <w:rPr>
          <w:rFonts w:hint="eastAsia"/>
        </w:rPr>
        <w:t>固定收益类信托计划</w:t>
      </w:r>
      <w:r w:rsidRPr="00BB0E65">
        <w:rPr>
          <w:rFonts w:hint="eastAsia"/>
        </w:rPr>
        <w:t>2</w:t>
      </w:r>
      <w:r w:rsidRPr="00BB0E65">
        <w:rPr>
          <w:rFonts w:hint="eastAsia"/>
        </w:rPr>
        <w:t>只</w:t>
      </w:r>
      <w:r w:rsidR="00C7559E" w:rsidRPr="00BB0E65">
        <w:rPr>
          <w:rFonts w:hint="eastAsia"/>
        </w:rPr>
        <w:t>、</w:t>
      </w:r>
      <w:r w:rsidRPr="00BB0E65">
        <w:rPr>
          <w:rFonts w:hint="eastAsia"/>
        </w:rPr>
        <w:t>专项资产管理计划</w:t>
      </w:r>
      <w:r w:rsidRPr="00BB0E65">
        <w:rPr>
          <w:rFonts w:hint="eastAsia"/>
        </w:rPr>
        <w:t>2</w:t>
      </w:r>
      <w:r w:rsidRPr="00BB0E65">
        <w:rPr>
          <w:rFonts w:hint="eastAsia"/>
        </w:rPr>
        <w:t>只；股票对冲策略中的多头策略</w:t>
      </w:r>
      <w:r w:rsidR="00541056" w:rsidRPr="00BB0E65">
        <w:rPr>
          <w:rFonts w:hint="eastAsia"/>
        </w:rPr>
        <w:t>产品</w:t>
      </w:r>
      <w:r w:rsidRPr="00BB0E65">
        <w:rPr>
          <w:rFonts w:hint="eastAsia"/>
        </w:rPr>
        <w:t>1</w:t>
      </w:r>
      <w:r w:rsidRPr="00BB0E65">
        <w:rPr>
          <w:rFonts w:hint="eastAsia"/>
        </w:rPr>
        <w:t>只、多空对</w:t>
      </w:r>
      <w:proofErr w:type="gramStart"/>
      <w:r w:rsidR="00321AF6">
        <w:rPr>
          <w:rFonts w:hint="eastAsia"/>
        </w:rPr>
        <w:t>冲</w:t>
      </w:r>
      <w:r w:rsidR="00211E10" w:rsidRPr="00BB0E65">
        <w:rPr>
          <w:rFonts w:hint="eastAsia"/>
        </w:rPr>
        <w:t>产品</w:t>
      </w:r>
      <w:proofErr w:type="gramEnd"/>
      <w:r w:rsidRPr="00BB0E65">
        <w:rPr>
          <w:rFonts w:hint="eastAsia"/>
        </w:rPr>
        <w:t>3</w:t>
      </w:r>
      <w:r w:rsidRPr="00BB0E65">
        <w:rPr>
          <w:rFonts w:hint="eastAsia"/>
        </w:rPr>
        <w:t>只</w:t>
      </w:r>
      <w:r w:rsidR="00C7559E" w:rsidRPr="00BB0E65">
        <w:rPr>
          <w:rFonts w:hint="eastAsia"/>
        </w:rPr>
        <w:t>；另</w:t>
      </w:r>
      <w:r w:rsidRPr="00BB0E65">
        <w:rPr>
          <w:rFonts w:hint="eastAsia"/>
        </w:rPr>
        <w:t>有</w:t>
      </w:r>
      <w:r w:rsidRPr="00BB0E65">
        <w:rPr>
          <w:rFonts w:hint="eastAsia"/>
        </w:rPr>
        <w:t>6</w:t>
      </w:r>
      <w:r w:rsidRPr="00BB0E65">
        <w:rPr>
          <w:rFonts w:hint="eastAsia"/>
        </w:rPr>
        <w:t>只产品</w:t>
      </w:r>
      <w:r w:rsidR="002878EB" w:rsidRPr="00BB0E65">
        <w:rPr>
          <w:rFonts w:hint="eastAsia"/>
        </w:rPr>
        <w:t>无</w:t>
      </w:r>
      <w:r w:rsidRPr="00BB0E65">
        <w:rPr>
          <w:rFonts w:hint="eastAsia"/>
        </w:rPr>
        <w:t>计划合同，因而暂未分类。</w:t>
      </w:r>
      <w:r w:rsidR="00211E10" w:rsidRPr="00BB0E65">
        <w:rPr>
          <w:rFonts w:hint="eastAsia"/>
        </w:rPr>
        <w:t>另外，</w:t>
      </w:r>
      <w:r w:rsidR="00CF7D8F" w:rsidRPr="00BB0E65">
        <w:rPr>
          <w:rFonts w:hint="eastAsia"/>
        </w:rPr>
        <w:t>分级产品共计</w:t>
      </w:r>
      <w:r w:rsidR="00CF7D8F" w:rsidRPr="00BB0E65">
        <w:rPr>
          <w:rFonts w:hint="eastAsia"/>
        </w:rPr>
        <w:t>21</w:t>
      </w:r>
      <w:r w:rsidR="00CF7D8F" w:rsidRPr="00BB0E65">
        <w:rPr>
          <w:rFonts w:hint="eastAsia"/>
        </w:rPr>
        <w:t>只</w:t>
      </w:r>
      <w:r w:rsidR="00211E10" w:rsidRPr="00BB0E65">
        <w:rPr>
          <w:rFonts w:hint="eastAsia"/>
        </w:rPr>
        <w:t>，并且</w:t>
      </w:r>
      <w:r w:rsidR="002878EB" w:rsidRPr="00BB0E65">
        <w:rPr>
          <w:rFonts w:hint="eastAsia"/>
        </w:rPr>
        <w:t>全部为</w:t>
      </w:r>
      <w:r w:rsidRPr="00BB0E65">
        <w:rPr>
          <w:rFonts w:hint="eastAsia"/>
        </w:rPr>
        <w:t>普通分级</w:t>
      </w:r>
      <w:r w:rsidR="00CF7D8F" w:rsidRPr="00BB0E65">
        <w:rPr>
          <w:rFonts w:hint="eastAsia"/>
        </w:rPr>
        <w:t>产品。其中，</w:t>
      </w:r>
      <w:r w:rsidRPr="00BB0E65">
        <w:rPr>
          <w:rFonts w:hint="eastAsia"/>
        </w:rPr>
        <w:t>固定收益策略中的债券型</w:t>
      </w:r>
      <w:r w:rsidRPr="00BB0E65">
        <w:rPr>
          <w:rFonts w:hint="eastAsia"/>
        </w:rPr>
        <w:t>13</w:t>
      </w:r>
      <w:r w:rsidRPr="00BB0E65">
        <w:rPr>
          <w:rFonts w:hint="eastAsia"/>
        </w:rPr>
        <w:t>只、货币型</w:t>
      </w:r>
      <w:r w:rsidRPr="00BB0E65">
        <w:rPr>
          <w:rFonts w:hint="eastAsia"/>
        </w:rPr>
        <w:t>2</w:t>
      </w:r>
      <w:r w:rsidRPr="00BB0E65">
        <w:rPr>
          <w:rFonts w:hint="eastAsia"/>
        </w:rPr>
        <w:t>只、固定收益类信托计划</w:t>
      </w:r>
      <w:r w:rsidRPr="00BB0E65">
        <w:rPr>
          <w:rFonts w:hint="eastAsia"/>
        </w:rPr>
        <w:t>1</w:t>
      </w:r>
      <w:r w:rsidRPr="00BB0E65">
        <w:rPr>
          <w:rFonts w:hint="eastAsia"/>
        </w:rPr>
        <w:t>只、专项资产管理计划</w:t>
      </w:r>
      <w:r w:rsidRPr="00BB0E65">
        <w:rPr>
          <w:rFonts w:hint="eastAsia"/>
        </w:rPr>
        <w:t>1</w:t>
      </w:r>
      <w:r w:rsidRPr="00BB0E65">
        <w:rPr>
          <w:rFonts w:hint="eastAsia"/>
        </w:rPr>
        <w:t>只；股票对冲策略中的多头策略</w:t>
      </w:r>
      <w:r w:rsidRPr="00BB0E65">
        <w:rPr>
          <w:rFonts w:hint="eastAsia"/>
        </w:rPr>
        <w:t>2</w:t>
      </w:r>
      <w:r w:rsidRPr="00BB0E65">
        <w:rPr>
          <w:rFonts w:hint="eastAsia"/>
        </w:rPr>
        <w:t>只；定向增发</w:t>
      </w:r>
      <w:r w:rsidRPr="00BB0E65">
        <w:rPr>
          <w:rFonts w:hint="eastAsia"/>
        </w:rPr>
        <w:t>2</w:t>
      </w:r>
      <w:r w:rsidRPr="00BB0E65">
        <w:rPr>
          <w:rFonts w:hint="eastAsia"/>
        </w:rPr>
        <w:t>只。</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C7559E" w:rsidTr="002F27D4">
        <w:trPr>
          <w:cantSplit/>
          <w:trHeight w:val="65"/>
        </w:trPr>
        <w:tc>
          <w:tcPr>
            <w:tcW w:w="7442" w:type="dxa"/>
            <w:shd w:val="clear" w:color="auto" w:fill="auto"/>
            <w:vAlign w:val="center"/>
          </w:tcPr>
          <w:p w:rsidR="00C7559E" w:rsidRPr="00656031" w:rsidRDefault="00C7559E" w:rsidP="002F27D4">
            <w:pPr>
              <w:pStyle w:val="SubTitleLargeTable"/>
              <w:pBdr>
                <w:top w:val="none" w:sz="0" w:space="0" w:color="auto"/>
              </w:pBdr>
              <w:rPr>
                <w:rFonts w:ascii="宋体" w:eastAsia="宋体" w:hAnsi="宋体"/>
                <w:b w:val="0"/>
                <w:color w:val="FF6600"/>
              </w:rPr>
            </w:pPr>
            <w:r w:rsidRPr="00656031">
              <w:rPr>
                <w:color w:val="FF6600"/>
              </w:rPr>
              <w:t>图表</w:t>
            </w:r>
            <w:r w:rsidRPr="00656031">
              <w:rPr>
                <w:rFonts w:hint="eastAsia"/>
                <w:color w:val="FF6600"/>
              </w:rPr>
              <w:t>1</w:t>
            </w:r>
            <w:r w:rsidRPr="00656031">
              <w:rPr>
                <w:rFonts w:hint="eastAsia"/>
                <w:color w:val="FF6600"/>
              </w:rPr>
              <w:t>：</w:t>
            </w:r>
            <w:r w:rsidR="00E30E08">
              <w:rPr>
                <w:rFonts w:hint="eastAsia"/>
                <w:color w:val="FF6600"/>
              </w:rPr>
              <w:t>今年以来集合理财产品月度发行数量</w:t>
            </w:r>
          </w:p>
        </w:tc>
      </w:tr>
      <w:tr w:rsidR="00C7559E" w:rsidTr="002F27D4">
        <w:trPr>
          <w:cantSplit/>
          <w:trHeight w:val="3169"/>
        </w:trPr>
        <w:tc>
          <w:tcPr>
            <w:tcW w:w="7442" w:type="dxa"/>
            <w:shd w:val="clear" w:color="auto" w:fill="auto"/>
            <w:vAlign w:val="center"/>
          </w:tcPr>
          <w:p w:rsidR="00C7559E" w:rsidRPr="00921371" w:rsidRDefault="00C7559E" w:rsidP="002F27D4">
            <w:pPr>
              <w:snapToGrid w:val="0"/>
              <w:spacing w:line="10" w:lineRule="atLeast"/>
              <w:jc w:val="center"/>
              <w:rPr>
                <w:rFonts w:ascii="宋体" w:eastAsia="宋体" w:hAnsi="宋体"/>
                <w:b/>
              </w:rPr>
            </w:pPr>
            <w:r>
              <w:rPr>
                <w:rFonts w:ascii="宋体" w:eastAsia="宋体" w:hAnsi="宋体"/>
                <w:b/>
                <w:noProof/>
              </w:rPr>
              <w:drawing>
                <wp:inline distT="0" distB="0" distL="0" distR="0">
                  <wp:extent cx="3871265" cy="2362809"/>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3871356" cy="2362865"/>
                          </a:xfrm>
                          <a:prstGeom prst="rect">
                            <a:avLst/>
                          </a:prstGeom>
                          <a:noFill/>
                          <a:ln w="9525">
                            <a:noFill/>
                            <a:miter lim="800000"/>
                            <a:headEnd/>
                            <a:tailEnd/>
                          </a:ln>
                        </pic:spPr>
                      </pic:pic>
                    </a:graphicData>
                  </a:graphic>
                </wp:inline>
              </w:drawing>
            </w:r>
          </w:p>
        </w:tc>
      </w:tr>
    </w:tbl>
    <w:p w:rsidR="00C7559E" w:rsidRPr="00656031" w:rsidRDefault="00C7559E" w:rsidP="00C7559E">
      <w:pPr>
        <w:pStyle w:val="FootnoteNoline"/>
        <w:rPr>
          <w:color w:val="FF6600"/>
        </w:rPr>
      </w:pPr>
      <w:r w:rsidRPr="00656031">
        <w:rPr>
          <w:rFonts w:hint="eastAsia"/>
          <w:color w:val="FF6600"/>
        </w:rPr>
        <w:t>来源：</w:t>
      </w:r>
      <w:proofErr w:type="gramStart"/>
      <w:r w:rsidRPr="00656031">
        <w:rPr>
          <w:rFonts w:hint="eastAsia"/>
          <w:color w:val="FF6600"/>
        </w:rPr>
        <w:t>凯</w:t>
      </w:r>
      <w:proofErr w:type="gramEnd"/>
      <w:r w:rsidRPr="00656031">
        <w:rPr>
          <w:rFonts w:hint="eastAsia"/>
          <w:color w:val="FF6600"/>
        </w:rPr>
        <w:t>石财富工场</w:t>
      </w:r>
    </w:p>
    <w:p w:rsidR="00294958" w:rsidRPr="00294958" w:rsidRDefault="00294958" w:rsidP="00294958">
      <w:pPr>
        <w:widowControl/>
        <w:spacing w:after="120" w:line="240" w:lineRule="exact"/>
        <w:ind w:left="3430"/>
        <w:rPr>
          <w:rFonts w:ascii="Arial" w:eastAsia="楷体_GB2312" w:hAnsi="Arial" w:cs="Times New Roman"/>
          <w:b/>
          <w:bCs/>
          <w:color w:val="0070C0"/>
          <w:kern w:val="0"/>
          <w:sz w:val="24"/>
          <w:szCs w:val="20"/>
          <w:lang w:val="en-GB"/>
        </w:rPr>
      </w:pPr>
      <w:r>
        <w:rPr>
          <w:rFonts w:ascii="Arial" w:eastAsia="楷体_GB2312" w:hAnsi="Arial" w:cs="Times New Roman" w:hint="eastAsia"/>
          <w:b/>
          <w:bCs/>
          <w:color w:val="0070C0"/>
          <w:kern w:val="0"/>
          <w:sz w:val="24"/>
          <w:szCs w:val="20"/>
          <w:lang w:val="en-GB"/>
        </w:rPr>
        <w:t>10</w:t>
      </w:r>
      <w:r>
        <w:rPr>
          <w:rFonts w:ascii="Arial" w:eastAsia="楷体_GB2312" w:hAnsi="Arial" w:cs="Times New Roman" w:hint="eastAsia"/>
          <w:b/>
          <w:bCs/>
          <w:color w:val="0070C0"/>
          <w:kern w:val="0"/>
          <w:sz w:val="24"/>
          <w:szCs w:val="20"/>
          <w:lang w:val="en-GB"/>
        </w:rPr>
        <w:t>月业绩回顾：</w:t>
      </w:r>
      <w:r w:rsidRPr="00294958">
        <w:rPr>
          <w:rFonts w:ascii="Arial" w:eastAsia="楷体_GB2312" w:hAnsi="Arial" w:cs="Times New Roman" w:hint="eastAsia"/>
          <w:b/>
          <w:bCs/>
          <w:color w:val="0070C0"/>
          <w:kern w:val="0"/>
          <w:sz w:val="24"/>
          <w:szCs w:val="20"/>
          <w:lang w:val="en-GB"/>
        </w:rPr>
        <w:t>稳健制胜，灵活突围</w:t>
      </w:r>
    </w:p>
    <w:p w:rsidR="009815E1" w:rsidRDefault="003C7877" w:rsidP="00B10000">
      <w:pPr>
        <w:pStyle w:val="ab"/>
        <w:numPr>
          <w:ilvl w:val="4"/>
          <w:numId w:val="1"/>
        </w:numPr>
        <w:spacing w:after="163"/>
        <w:rPr>
          <w:color w:val="auto"/>
        </w:rPr>
      </w:pPr>
      <w:r w:rsidRPr="00F9428D">
        <w:rPr>
          <w:rFonts w:hint="eastAsia"/>
          <w:color w:val="auto"/>
        </w:rPr>
        <w:t>回顾</w:t>
      </w:r>
      <w:r w:rsidR="005565C8" w:rsidRPr="00F9428D">
        <w:rPr>
          <w:rFonts w:hint="eastAsia"/>
          <w:color w:val="auto"/>
        </w:rPr>
        <w:t>2013</w:t>
      </w:r>
      <w:r w:rsidR="005565C8" w:rsidRPr="00F9428D">
        <w:rPr>
          <w:rFonts w:hint="eastAsia"/>
          <w:color w:val="auto"/>
        </w:rPr>
        <w:t>年</w:t>
      </w:r>
      <w:r w:rsidR="005565C8" w:rsidRPr="00F9428D">
        <w:rPr>
          <w:rFonts w:hint="eastAsia"/>
          <w:color w:val="auto"/>
        </w:rPr>
        <w:t>10</w:t>
      </w:r>
      <w:r w:rsidR="005565C8" w:rsidRPr="00F9428D">
        <w:rPr>
          <w:rFonts w:hint="eastAsia"/>
          <w:color w:val="auto"/>
        </w:rPr>
        <w:t>月</w:t>
      </w:r>
      <w:r w:rsidRPr="00F9428D">
        <w:rPr>
          <w:rFonts w:hint="eastAsia"/>
          <w:color w:val="auto"/>
        </w:rPr>
        <w:t>，</w:t>
      </w:r>
      <w:r w:rsidR="00DB4B92" w:rsidRPr="00F9428D">
        <w:rPr>
          <w:rFonts w:hint="eastAsia"/>
          <w:color w:val="auto"/>
        </w:rPr>
        <w:t>A</w:t>
      </w:r>
      <w:r w:rsidR="00DB4B92" w:rsidRPr="00F9428D">
        <w:rPr>
          <w:rFonts w:hint="eastAsia"/>
          <w:color w:val="auto"/>
        </w:rPr>
        <w:t>股市场前期</w:t>
      </w:r>
      <w:r w:rsidRPr="00F9428D">
        <w:rPr>
          <w:rFonts w:hint="eastAsia"/>
          <w:color w:val="auto"/>
        </w:rPr>
        <w:t>在经济数据好转的支撑下震荡上行，但随着</w:t>
      </w:r>
      <w:r w:rsidRPr="00F9428D">
        <w:rPr>
          <w:rFonts w:hint="eastAsia"/>
          <w:color w:val="auto"/>
        </w:rPr>
        <w:t>10</w:t>
      </w:r>
      <w:r w:rsidRPr="00F9428D">
        <w:rPr>
          <w:rFonts w:hint="eastAsia"/>
          <w:color w:val="auto"/>
        </w:rPr>
        <w:t>月末</w:t>
      </w:r>
      <w:r w:rsidR="002C087C" w:rsidRPr="00F9428D">
        <w:rPr>
          <w:rFonts w:hint="eastAsia"/>
          <w:color w:val="auto"/>
        </w:rPr>
        <w:t>美联储议</w:t>
      </w:r>
      <w:proofErr w:type="gramStart"/>
      <w:r w:rsidR="002C087C" w:rsidRPr="00F9428D">
        <w:rPr>
          <w:rFonts w:hint="eastAsia"/>
          <w:color w:val="auto"/>
        </w:rPr>
        <w:t>息会议</w:t>
      </w:r>
      <w:proofErr w:type="gramEnd"/>
      <w:r w:rsidRPr="00F9428D">
        <w:rPr>
          <w:rFonts w:hint="eastAsia"/>
          <w:color w:val="auto"/>
        </w:rPr>
        <w:t>的临近，</w:t>
      </w:r>
      <w:r w:rsidR="002C087C" w:rsidRPr="00F9428D">
        <w:rPr>
          <w:rFonts w:hint="eastAsia"/>
          <w:color w:val="auto"/>
        </w:rPr>
        <w:t>市场对于</w:t>
      </w:r>
      <w:r w:rsidR="002C087C" w:rsidRPr="00F9428D">
        <w:rPr>
          <w:rFonts w:hint="eastAsia"/>
          <w:color w:val="auto"/>
        </w:rPr>
        <w:t>QE</w:t>
      </w:r>
      <w:r w:rsidR="002C087C" w:rsidRPr="00F9428D">
        <w:rPr>
          <w:rFonts w:hint="eastAsia"/>
          <w:color w:val="auto"/>
        </w:rPr>
        <w:t>退出的预期愈发强烈，</w:t>
      </w:r>
      <w:r w:rsidR="00F83471">
        <w:rPr>
          <w:rFonts w:hint="eastAsia"/>
          <w:color w:val="auto"/>
        </w:rPr>
        <w:t>这只悬挂在头顶的达摩克利斯之剑</w:t>
      </w:r>
      <w:r w:rsidR="002C087C" w:rsidRPr="00F9428D">
        <w:rPr>
          <w:rFonts w:hint="eastAsia"/>
          <w:color w:val="auto"/>
        </w:rPr>
        <w:t>再度</w:t>
      </w:r>
      <w:r w:rsidR="00F83471">
        <w:rPr>
          <w:rFonts w:hint="eastAsia"/>
          <w:color w:val="auto"/>
        </w:rPr>
        <w:t>对</w:t>
      </w:r>
      <w:r w:rsidR="002C087C" w:rsidRPr="00F9428D">
        <w:rPr>
          <w:rFonts w:hint="eastAsia"/>
          <w:color w:val="auto"/>
        </w:rPr>
        <w:t>A</w:t>
      </w:r>
      <w:r w:rsidR="002C087C" w:rsidRPr="00F9428D">
        <w:rPr>
          <w:rFonts w:hint="eastAsia"/>
          <w:color w:val="auto"/>
        </w:rPr>
        <w:t>股市场的表现</w:t>
      </w:r>
      <w:r w:rsidR="004E5BDA" w:rsidRPr="00F9428D">
        <w:rPr>
          <w:rFonts w:hint="eastAsia"/>
          <w:color w:val="auto"/>
        </w:rPr>
        <w:t>形成</w:t>
      </w:r>
      <w:r w:rsidR="002C087C" w:rsidRPr="00F9428D">
        <w:rPr>
          <w:rFonts w:hint="eastAsia"/>
          <w:color w:val="auto"/>
        </w:rPr>
        <w:t>制约，</w:t>
      </w:r>
      <w:r w:rsidR="004E5BDA" w:rsidRPr="00F9428D">
        <w:rPr>
          <w:rFonts w:hint="eastAsia"/>
          <w:color w:val="auto"/>
        </w:rPr>
        <w:t>加上前期各个概念板块炒作</w:t>
      </w:r>
      <w:r w:rsidR="002878EB">
        <w:rPr>
          <w:rFonts w:hint="eastAsia"/>
          <w:color w:val="auto"/>
        </w:rPr>
        <w:t>热情</w:t>
      </w:r>
      <w:r w:rsidR="004E5BDA" w:rsidRPr="00F9428D">
        <w:rPr>
          <w:rFonts w:hint="eastAsia"/>
          <w:color w:val="auto"/>
        </w:rPr>
        <w:t>的逐渐退潮，</w:t>
      </w:r>
      <w:r w:rsidR="002C087C" w:rsidRPr="00F9428D">
        <w:rPr>
          <w:rFonts w:hint="eastAsia"/>
          <w:color w:val="auto"/>
        </w:rPr>
        <w:t>最终沪深</w:t>
      </w:r>
      <w:r w:rsidR="002C087C" w:rsidRPr="00F9428D">
        <w:rPr>
          <w:rFonts w:hint="eastAsia"/>
          <w:color w:val="auto"/>
        </w:rPr>
        <w:t>300</w:t>
      </w:r>
      <w:r w:rsidR="002C087C" w:rsidRPr="00F9428D">
        <w:rPr>
          <w:rFonts w:hint="eastAsia"/>
          <w:color w:val="auto"/>
        </w:rPr>
        <w:t>指数</w:t>
      </w:r>
      <w:r w:rsidR="004E5BDA" w:rsidRPr="00F9428D">
        <w:rPr>
          <w:rFonts w:hint="eastAsia"/>
          <w:color w:val="auto"/>
        </w:rPr>
        <w:t>全月下跌</w:t>
      </w:r>
      <w:r w:rsidR="004E5BDA" w:rsidRPr="00F9428D">
        <w:rPr>
          <w:rFonts w:hint="eastAsia"/>
          <w:color w:val="auto"/>
        </w:rPr>
        <w:t>1.47%</w:t>
      </w:r>
      <w:r w:rsidR="004E5BDA" w:rsidRPr="00F9428D">
        <w:rPr>
          <w:rFonts w:hint="eastAsia"/>
          <w:color w:val="auto"/>
        </w:rPr>
        <w:t>，中证</w:t>
      </w:r>
      <w:r w:rsidR="004E5BDA" w:rsidRPr="00F9428D">
        <w:rPr>
          <w:rFonts w:hint="eastAsia"/>
          <w:color w:val="auto"/>
        </w:rPr>
        <w:t>500</w:t>
      </w:r>
      <w:r w:rsidR="004E5BDA" w:rsidRPr="00F9428D">
        <w:rPr>
          <w:rFonts w:hint="eastAsia"/>
          <w:color w:val="auto"/>
        </w:rPr>
        <w:t>指数全月下跌</w:t>
      </w:r>
      <w:r w:rsidR="004E5BDA" w:rsidRPr="00F9428D">
        <w:rPr>
          <w:rFonts w:hint="eastAsia"/>
          <w:color w:val="auto"/>
        </w:rPr>
        <w:t>4.11%</w:t>
      </w:r>
      <w:r w:rsidR="004E5BDA" w:rsidRPr="00F9428D">
        <w:rPr>
          <w:rFonts w:hint="eastAsia"/>
          <w:color w:val="auto"/>
        </w:rPr>
        <w:t>。</w:t>
      </w:r>
    </w:p>
    <w:p w:rsidR="00B10000" w:rsidRPr="00F9428D" w:rsidRDefault="00630812" w:rsidP="00B10000">
      <w:pPr>
        <w:pStyle w:val="ab"/>
        <w:numPr>
          <w:ilvl w:val="4"/>
          <w:numId w:val="1"/>
        </w:numPr>
        <w:spacing w:after="163"/>
        <w:rPr>
          <w:color w:val="auto"/>
        </w:rPr>
      </w:pPr>
      <w:r w:rsidRPr="00F9428D">
        <w:rPr>
          <w:rFonts w:hint="eastAsia"/>
          <w:color w:val="auto"/>
        </w:rPr>
        <w:t>在此背景下，</w:t>
      </w:r>
      <w:r w:rsidR="00EC7266" w:rsidRPr="00F9428D">
        <w:rPr>
          <w:rFonts w:hint="eastAsia"/>
          <w:color w:val="auto"/>
        </w:rPr>
        <w:t>券商集合理财产品整体表现可谓涨跌互现。其中，非限定性产品</w:t>
      </w:r>
      <w:r w:rsidR="00EC7266" w:rsidRPr="00F9428D">
        <w:rPr>
          <w:rFonts w:hint="eastAsia"/>
          <w:color w:val="auto"/>
        </w:rPr>
        <w:t>10</w:t>
      </w:r>
      <w:r w:rsidR="00EC7266" w:rsidRPr="00F9428D">
        <w:rPr>
          <w:rFonts w:hint="eastAsia"/>
          <w:color w:val="auto"/>
        </w:rPr>
        <w:t>月份净值平均小幅下跌</w:t>
      </w:r>
      <w:r w:rsidR="00EC7266" w:rsidRPr="00F9428D">
        <w:rPr>
          <w:rFonts w:hint="eastAsia"/>
          <w:color w:val="auto"/>
        </w:rPr>
        <w:t>0.</w:t>
      </w:r>
      <w:r w:rsidR="00F77438">
        <w:rPr>
          <w:rFonts w:hint="eastAsia"/>
          <w:color w:val="auto"/>
        </w:rPr>
        <w:t>7</w:t>
      </w:r>
      <w:r w:rsidR="00EC7266" w:rsidRPr="00F9428D">
        <w:rPr>
          <w:rFonts w:hint="eastAsia"/>
          <w:color w:val="auto"/>
        </w:rPr>
        <w:t>%</w:t>
      </w:r>
      <w:r w:rsidR="00EC7266" w:rsidRPr="00F9428D">
        <w:rPr>
          <w:rFonts w:hint="eastAsia"/>
          <w:color w:val="auto"/>
        </w:rPr>
        <w:t>；限定性产品平均小幅上涨</w:t>
      </w:r>
      <w:r w:rsidR="00EC7266" w:rsidRPr="00F9428D">
        <w:rPr>
          <w:rFonts w:hint="eastAsia"/>
          <w:color w:val="auto"/>
        </w:rPr>
        <w:t>0.1%</w:t>
      </w:r>
      <w:r w:rsidR="00EC7266" w:rsidRPr="00F9428D">
        <w:rPr>
          <w:rFonts w:hint="eastAsia"/>
          <w:color w:val="auto"/>
        </w:rPr>
        <w:t>。</w:t>
      </w:r>
      <w:r w:rsidR="00EC7266" w:rsidRPr="00F9428D">
        <w:rPr>
          <w:rFonts w:hint="eastAsia"/>
          <w:color w:val="auto"/>
        </w:rPr>
        <w:t>35</w:t>
      </w:r>
      <w:r w:rsidR="0032272B" w:rsidRPr="00F9428D">
        <w:rPr>
          <w:rFonts w:hint="eastAsia"/>
          <w:color w:val="auto"/>
        </w:rPr>
        <w:t>0</w:t>
      </w:r>
      <w:r w:rsidR="00EC7266" w:rsidRPr="00F9428D">
        <w:rPr>
          <w:rFonts w:hint="eastAsia"/>
          <w:color w:val="auto"/>
        </w:rPr>
        <w:t>只大集合产品（不含分级份额）</w:t>
      </w:r>
      <w:r w:rsidR="0032272B" w:rsidRPr="00F9428D">
        <w:rPr>
          <w:rFonts w:hint="eastAsia"/>
          <w:color w:val="auto"/>
        </w:rPr>
        <w:t>120</w:t>
      </w:r>
      <w:r w:rsidR="00EC7266" w:rsidRPr="00F9428D">
        <w:rPr>
          <w:rFonts w:hint="eastAsia"/>
          <w:color w:val="auto"/>
        </w:rPr>
        <w:t>涨</w:t>
      </w:r>
      <w:r w:rsidR="00EC7266" w:rsidRPr="00F9428D">
        <w:rPr>
          <w:rFonts w:hint="eastAsia"/>
          <w:color w:val="auto"/>
        </w:rPr>
        <w:t>2</w:t>
      </w:r>
      <w:r w:rsidR="0032272B" w:rsidRPr="00F9428D">
        <w:rPr>
          <w:rFonts w:hint="eastAsia"/>
          <w:color w:val="auto"/>
        </w:rPr>
        <w:t>30</w:t>
      </w:r>
      <w:r w:rsidR="00EC7266" w:rsidRPr="00F9428D">
        <w:rPr>
          <w:rFonts w:hint="eastAsia"/>
          <w:color w:val="auto"/>
        </w:rPr>
        <w:t>跌，平均</w:t>
      </w:r>
      <w:r w:rsidR="0032272B" w:rsidRPr="00F9428D">
        <w:rPr>
          <w:rFonts w:hint="eastAsia"/>
          <w:color w:val="auto"/>
        </w:rPr>
        <w:t>出现亏损</w:t>
      </w:r>
      <w:r w:rsidR="0032272B" w:rsidRPr="00F9428D">
        <w:rPr>
          <w:rFonts w:hint="eastAsia"/>
          <w:color w:val="auto"/>
        </w:rPr>
        <w:t>1.09</w:t>
      </w:r>
      <w:r w:rsidR="00EC7266" w:rsidRPr="00F9428D">
        <w:rPr>
          <w:rFonts w:hint="eastAsia"/>
          <w:color w:val="auto"/>
        </w:rPr>
        <w:t>%</w:t>
      </w:r>
      <w:r w:rsidR="00EC7266" w:rsidRPr="00F9428D">
        <w:rPr>
          <w:rFonts w:hint="eastAsia"/>
          <w:color w:val="auto"/>
        </w:rPr>
        <w:t>；</w:t>
      </w:r>
      <w:r w:rsidR="00EC7266" w:rsidRPr="00F9428D">
        <w:rPr>
          <w:rFonts w:hint="eastAsia"/>
          <w:color w:val="auto"/>
        </w:rPr>
        <w:t>2</w:t>
      </w:r>
      <w:r w:rsidR="0032272B" w:rsidRPr="00F9428D">
        <w:rPr>
          <w:rFonts w:hint="eastAsia"/>
          <w:color w:val="auto"/>
        </w:rPr>
        <w:t>92</w:t>
      </w:r>
      <w:r w:rsidR="00EC7266" w:rsidRPr="00F9428D">
        <w:rPr>
          <w:rFonts w:hint="eastAsia"/>
          <w:color w:val="auto"/>
        </w:rPr>
        <w:lastRenderedPageBreak/>
        <w:t>只小集合产品（同前）</w:t>
      </w:r>
      <w:r w:rsidR="00EC7266" w:rsidRPr="00F9428D">
        <w:rPr>
          <w:rFonts w:hint="eastAsia"/>
          <w:color w:val="auto"/>
        </w:rPr>
        <w:t>1</w:t>
      </w:r>
      <w:r w:rsidR="0032272B" w:rsidRPr="00F9428D">
        <w:rPr>
          <w:rFonts w:hint="eastAsia"/>
          <w:color w:val="auto"/>
        </w:rPr>
        <w:t>60</w:t>
      </w:r>
      <w:r w:rsidR="00EC7266" w:rsidRPr="00F9428D">
        <w:rPr>
          <w:rFonts w:hint="eastAsia"/>
          <w:color w:val="auto"/>
        </w:rPr>
        <w:t>涨</w:t>
      </w:r>
      <w:r w:rsidR="0032272B" w:rsidRPr="00F9428D">
        <w:rPr>
          <w:rFonts w:hint="eastAsia"/>
          <w:color w:val="auto"/>
        </w:rPr>
        <w:t>132</w:t>
      </w:r>
      <w:r w:rsidR="00EC7266" w:rsidRPr="00F9428D">
        <w:rPr>
          <w:rFonts w:hint="eastAsia"/>
          <w:color w:val="auto"/>
        </w:rPr>
        <w:t>跌，</w:t>
      </w:r>
      <w:r w:rsidR="0032272B" w:rsidRPr="00F9428D">
        <w:rPr>
          <w:rFonts w:hint="eastAsia"/>
          <w:color w:val="auto"/>
        </w:rPr>
        <w:t>净值</w:t>
      </w:r>
      <w:r w:rsidR="00EC7266" w:rsidRPr="00F9428D">
        <w:rPr>
          <w:rFonts w:hint="eastAsia"/>
          <w:color w:val="auto"/>
        </w:rPr>
        <w:t>平均</w:t>
      </w:r>
      <w:r w:rsidR="0032272B" w:rsidRPr="00F9428D">
        <w:rPr>
          <w:rFonts w:hint="eastAsia"/>
          <w:color w:val="auto"/>
        </w:rPr>
        <w:t>小幅下跌</w:t>
      </w:r>
      <w:r w:rsidR="0032272B" w:rsidRPr="00F9428D">
        <w:rPr>
          <w:rFonts w:hint="eastAsia"/>
          <w:color w:val="auto"/>
        </w:rPr>
        <w:t>0.11</w:t>
      </w:r>
      <w:r w:rsidR="00EC7266" w:rsidRPr="00F9428D">
        <w:rPr>
          <w:rFonts w:hint="eastAsia"/>
          <w:color w:val="auto"/>
        </w:rPr>
        <w:t>%</w:t>
      </w:r>
      <w:r w:rsidR="00EC7266" w:rsidRPr="00F9428D">
        <w:rPr>
          <w:rFonts w:hint="eastAsia"/>
          <w:color w:val="auto"/>
        </w:rPr>
        <w:t>。分级份额方面，</w:t>
      </w:r>
      <w:r w:rsidR="00EC7266" w:rsidRPr="00F9428D">
        <w:rPr>
          <w:rFonts w:hint="eastAsia"/>
          <w:color w:val="auto"/>
        </w:rPr>
        <w:t>1</w:t>
      </w:r>
      <w:r w:rsidR="0032272B" w:rsidRPr="00F9428D">
        <w:rPr>
          <w:rFonts w:hint="eastAsia"/>
          <w:color w:val="auto"/>
        </w:rPr>
        <w:t>50</w:t>
      </w:r>
      <w:r w:rsidR="00EC7266" w:rsidRPr="00F9428D">
        <w:rPr>
          <w:rFonts w:hint="eastAsia"/>
          <w:color w:val="auto"/>
        </w:rPr>
        <w:t>只大集合分级产品</w:t>
      </w:r>
      <w:r w:rsidR="0032272B" w:rsidRPr="00F9428D">
        <w:rPr>
          <w:rFonts w:hint="eastAsia"/>
          <w:color w:val="auto"/>
        </w:rPr>
        <w:t>90</w:t>
      </w:r>
      <w:r w:rsidR="00EC7266" w:rsidRPr="00F9428D">
        <w:rPr>
          <w:rFonts w:hint="eastAsia"/>
          <w:color w:val="auto"/>
        </w:rPr>
        <w:t>涨</w:t>
      </w:r>
      <w:r w:rsidR="0032272B" w:rsidRPr="00F9428D">
        <w:rPr>
          <w:rFonts w:hint="eastAsia"/>
          <w:color w:val="auto"/>
        </w:rPr>
        <w:t>60</w:t>
      </w:r>
      <w:r w:rsidR="00EC7266" w:rsidRPr="00F9428D">
        <w:rPr>
          <w:rFonts w:hint="eastAsia"/>
          <w:color w:val="auto"/>
        </w:rPr>
        <w:t>跌，平均收益</w:t>
      </w:r>
      <w:r w:rsidR="0032272B" w:rsidRPr="00F9428D">
        <w:rPr>
          <w:rFonts w:hint="eastAsia"/>
          <w:color w:val="auto"/>
        </w:rPr>
        <w:t>-0.77</w:t>
      </w:r>
      <w:r w:rsidR="00EC7266" w:rsidRPr="00F9428D">
        <w:rPr>
          <w:rFonts w:hint="eastAsia"/>
          <w:color w:val="auto"/>
        </w:rPr>
        <w:t>%</w:t>
      </w:r>
      <w:r w:rsidR="00EC7266" w:rsidRPr="00F9428D">
        <w:rPr>
          <w:rFonts w:hint="eastAsia"/>
          <w:color w:val="auto"/>
        </w:rPr>
        <w:t>；</w:t>
      </w:r>
      <w:r w:rsidR="0032272B" w:rsidRPr="00F9428D">
        <w:rPr>
          <w:rFonts w:hint="eastAsia"/>
          <w:color w:val="auto"/>
        </w:rPr>
        <w:t>248</w:t>
      </w:r>
      <w:r w:rsidR="00EC7266" w:rsidRPr="00F9428D">
        <w:rPr>
          <w:rFonts w:hint="eastAsia"/>
          <w:color w:val="auto"/>
        </w:rPr>
        <w:t>只小集合分级产品</w:t>
      </w:r>
      <w:r w:rsidR="00EC7266" w:rsidRPr="00F9428D">
        <w:rPr>
          <w:rFonts w:hint="eastAsia"/>
          <w:color w:val="auto"/>
        </w:rPr>
        <w:t>1</w:t>
      </w:r>
      <w:r w:rsidR="0032272B" w:rsidRPr="00F9428D">
        <w:rPr>
          <w:rFonts w:hint="eastAsia"/>
          <w:color w:val="auto"/>
        </w:rPr>
        <w:t>88</w:t>
      </w:r>
      <w:r w:rsidR="00EC7266" w:rsidRPr="00F9428D">
        <w:rPr>
          <w:rFonts w:hint="eastAsia"/>
          <w:color w:val="auto"/>
        </w:rPr>
        <w:t>涨</w:t>
      </w:r>
      <w:r w:rsidR="0032272B" w:rsidRPr="00F9428D">
        <w:rPr>
          <w:rFonts w:hint="eastAsia"/>
          <w:color w:val="auto"/>
        </w:rPr>
        <w:t>60</w:t>
      </w:r>
      <w:r w:rsidR="00EC7266" w:rsidRPr="00F9428D">
        <w:rPr>
          <w:rFonts w:hint="eastAsia"/>
          <w:color w:val="auto"/>
        </w:rPr>
        <w:t>跌，平均</w:t>
      </w:r>
      <w:r w:rsidR="0032272B" w:rsidRPr="00F9428D">
        <w:rPr>
          <w:rFonts w:hint="eastAsia"/>
          <w:color w:val="auto"/>
        </w:rPr>
        <w:t>实现</w:t>
      </w:r>
      <w:r w:rsidR="0032272B" w:rsidRPr="00F9428D">
        <w:rPr>
          <w:rFonts w:hint="eastAsia"/>
          <w:color w:val="auto"/>
        </w:rPr>
        <w:t>0.61</w:t>
      </w:r>
      <w:r w:rsidR="00EC7266" w:rsidRPr="00F9428D">
        <w:rPr>
          <w:rFonts w:hint="eastAsia"/>
          <w:color w:val="auto"/>
        </w:rPr>
        <w:t>%</w:t>
      </w:r>
      <w:r w:rsidR="0032272B" w:rsidRPr="00F9428D">
        <w:rPr>
          <w:rFonts w:hint="eastAsia"/>
          <w:color w:val="auto"/>
        </w:rPr>
        <w:t>的净回报</w:t>
      </w:r>
      <w:r w:rsidR="00EC7266" w:rsidRPr="00F9428D">
        <w:rPr>
          <w:rFonts w:hint="eastAsia"/>
          <w:color w:val="auto"/>
        </w:rPr>
        <w:t>。</w:t>
      </w:r>
    </w:p>
    <w:p w:rsidR="00B10000" w:rsidRPr="00BC3810" w:rsidRDefault="00907E92" w:rsidP="00B10000">
      <w:pPr>
        <w:pStyle w:val="ab"/>
        <w:numPr>
          <w:ilvl w:val="4"/>
          <w:numId w:val="1"/>
        </w:numPr>
        <w:spacing w:after="163"/>
        <w:rPr>
          <w:color w:val="auto"/>
        </w:rPr>
      </w:pPr>
      <w:r>
        <w:rPr>
          <w:rFonts w:hint="eastAsia"/>
          <w:color w:val="auto"/>
        </w:rPr>
        <w:t>就不同的策略类型而言，</w:t>
      </w:r>
      <w:r w:rsidR="00702FEC">
        <w:rPr>
          <w:rFonts w:hint="eastAsia"/>
          <w:color w:val="auto"/>
        </w:rPr>
        <w:t>行业整体受</w:t>
      </w:r>
      <w:r w:rsidR="00702FEC">
        <w:rPr>
          <w:rFonts w:hint="eastAsia"/>
          <w:color w:val="auto"/>
        </w:rPr>
        <w:t>10</w:t>
      </w:r>
      <w:r w:rsidR="00702FEC">
        <w:rPr>
          <w:rFonts w:hint="eastAsia"/>
          <w:color w:val="auto"/>
        </w:rPr>
        <w:t>月下旬市场深幅回调的影响，呈现固定收益类品种业绩稳定、权益类品种净值下挫的特点</w:t>
      </w:r>
      <w:r w:rsidR="000E744C">
        <w:rPr>
          <w:rFonts w:hint="eastAsia"/>
          <w:color w:val="auto"/>
        </w:rPr>
        <w:t>。</w:t>
      </w:r>
      <w:r w:rsidR="00702FEC">
        <w:rPr>
          <w:rFonts w:hint="eastAsia"/>
          <w:color w:val="auto"/>
        </w:rPr>
        <w:t>不过由于</w:t>
      </w:r>
      <w:r w:rsidR="00702FEC">
        <w:rPr>
          <w:rFonts w:hint="eastAsia"/>
          <w:color w:val="auto"/>
        </w:rPr>
        <w:t>10</w:t>
      </w:r>
      <w:r w:rsidR="00702FEC">
        <w:rPr>
          <w:rFonts w:hint="eastAsia"/>
          <w:color w:val="auto"/>
        </w:rPr>
        <w:t>月前期市场的普遍上扬使得绝大多数产品累积了</w:t>
      </w:r>
      <w:r w:rsidR="000E744C">
        <w:rPr>
          <w:rFonts w:hint="eastAsia"/>
          <w:color w:val="auto"/>
        </w:rPr>
        <w:t>浮盈，因而面对转向下行对于净值的冲击，均有了较大的缓冲余地，</w:t>
      </w:r>
      <w:r w:rsidR="007366CC">
        <w:rPr>
          <w:rFonts w:hint="eastAsia"/>
          <w:color w:val="auto"/>
        </w:rPr>
        <w:t>因此</w:t>
      </w:r>
      <w:r w:rsidR="000E744C">
        <w:rPr>
          <w:rFonts w:hint="eastAsia"/>
          <w:color w:val="auto"/>
        </w:rPr>
        <w:t>即便亏损，幅度也</w:t>
      </w:r>
      <w:r w:rsidR="007366CC">
        <w:rPr>
          <w:rFonts w:hint="eastAsia"/>
          <w:color w:val="auto"/>
        </w:rPr>
        <w:t>相对</w:t>
      </w:r>
      <w:r w:rsidR="000E744C">
        <w:rPr>
          <w:rFonts w:hint="eastAsia"/>
          <w:color w:val="auto"/>
        </w:rPr>
        <w:t>有限。</w:t>
      </w:r>
    </w:p>
    <w:p w:rsidR="00B10000" w:rsidRDefault="00B16B5E" w:rsidP="00B10000">
      <w:pPr>
        <w:pStyle w:val="ab"/>
        <w:numPr>
          <w:ilvl w:val="5"/>
          <w:numId w:val="2"/>
        </w:numPr>
        <w:spacing w:after="163"/>
        <w:ind w:left="4140" w:hanging="369"/>
      </w:pPr>
      <w:r w:rsidRPr="00B16B5E">
        <w:rPr>
          <w:rFonts w:hint="eastAsia"/>
        </w:rPr>
        <w:t>具体来看，</w:t>
      </w:r>
      <w:r>
        <w:rPr>
          <w:rFonts w:hint="eastAsia"/>
        </w:rPr>
        <w:t>6</w:t>
      </w:r>
      <w:r>
        <w:rPr>
          <w:rFonts w:hint="eastAsia"/>
        </w:rPr>
        <w:t>只</w:t>
      </w:r>
      <w:r>
        <w:rPr>
          <w:rFonts w:hint="eastAsia"/>
        </w:rPr>
        <w:t>QDII</w:t>
      </w:r>
      <w:r>
        <w:rPr>
          <w:rFonts w:hint="eastAsia"/>
        </w:rPr>
        <w:t>品种</w:t>
      </w:r>
      <w:r>
        <w:rPr>
          <w:rFonts w:hint="eastAsia"/>
        </w:rPr>
        <w:t>10</w:t>
      </w:r>
      <w:r>
        <w:rPr>
          <w:rFonts w:hint="eastAsia"/>
        </w:rPr>
        <w:t>月表现最佳，净值平均上涨</w:t>
      </w:r>
      <w:r>
        <w:rPr>
          <w:rFonts w:hint="eastAsia"/>
        </w:rPr>
        <w:t>2.53%</w:t>
      </w:r>
      <w:r w:rsidR="001B7EAD">
        <w:rPr>
          <w:rFonts w:hint="eastAsia"/>
        </w:rPr>
        <w:t>；</w:t>
      </w:r>
      <w:r w:rsidR="001B7EAD">
        <w:rPr>
          <w:rFonts w:hint="eastAsia"/>
        </w:rPr>
        <w:t>44</w:t>
      </w:r>
      <w:r w:rsidR="001B7EAD">
        <w:rPr>
          <w:rFonts w:hint="eastAsia"/>
        </w:rPr>
        <w:t>只</w:t>
      </w:r>
      <w:r w:rsidR="001B7EAD" w:rsidRPr="001B7EAD">
        <w:rPr>
          <w:rFonts w:hint="eastAsia"/>
        </w:rPr>
        <w:t>固定收益类信托计划</w:t>
      </w:r>
      <w:r w:rsidR="001B7EAD">
        <w:rPr>
          <w:rFonts w:hint="eastAsia"/>
        </w:rPr>
        <w:t>产品位列第二，净值平均小幅上涨</w:t>
      </w:r>
      <w:r w:rsidR="001B7EAD">
        <w:rPr>
          <w:rFonts w:hint="eastAsia"/>
        </w:rPr>
        <w:t>0.72%</w:t>
      </w:r>
      <w:r w:rsidR="001B7EAD">
        <w:rPr>
          <w:rFonts w:hint="eastAsia"/>
        </w:rPr>
        <w:t>；</w:t>
      </w:r>
      <w:r w:rsidR="001B7EAD">
        <w:rPr>
          <w:rFonts w:hint="eastAsia"/>
        </w:rPr>
        <w:t>15</w:t>
      </w:r>
      <w:r w:rsidR="001B7EAD">
        <w:rPr>
          <w:rFonts w:hint="eastAsia"/>
        </w:rPr>
        <w:t>只复合策略品种以</w:t>
      </w:r>
      <w:r w:rsidR="001B7EAD">
        <w:rPr>
          <w:rFonts w:hint="eastAsia"/>
        </w:rPr>
        <w:t>0.26%</w:t>
      </w:r>
      <w:r w:rsidR="001B7EAD">
        <w:rPr>
          <w:rFonts w:hint="eastAsia"/>
        </w:rPr>
        <w:t>的平均收益排名第三；除此之外，</w:t>
      </w:r>
      <w:r w:rsidR="001B7EAD">
        <w:rPr>
          <w:rFonts w:hint="eastAsia"/>
        </w:rPr>
        <w:t>3</w:t>
      </w:r>
      <w:r w:rsidR="001B7EAD">
        <w:rPr>
          <w:rFonts w:hint="eastAsia"/>
        </w:rPr>
        <w:t>只货币型品种、</w:t>
      </w:r>
      <w:r w:rsidR="001B7EAD">
        <w:rPr>
          <w:rFonts w:hint="eastAsia"/>
        </w:rPr>
        <w:t>5</w:t>
      </w:r>
      <w:r w:rsidR="001B7EAD">
        <w:rPr>
          <w:rFonts w:hint="eastAsia"/>
        </w:rPr>
        <w:t>只一级市场投资品种、以及</w:t>
      </w:r>
      <w:r w:rsidR="001B7EAD">
        <w:rPr>
          <w:rFonts w:hint="eastAsia"/>
        </w:rPr>
        <w:t>200</w:t>
      </w:r>
      <w:r w:rsidR="001B7EAD">
        <w:rPr>
          <w:rFonts w:hint="eastAsia"/>
        </w:rPr>
        <w:t>只债券型品种分别以</w:t>
      </w:r>
      <w:r w:rsidR="001B7EAD">
        <w:rPr>
          <w:rFonts w:hint="eastAsia"/>
        </w:rPr>
        <w:t>0.23%</w:t>
      </w:r>
      <w:r w:rsidR="001B7EAD">
        <w:rPr>
          <w:rFonts w:hint="eastAsia"/>
        </w:rPr>
        <w:t>、</w:t>
      </w:r>
      <w:r w:rsidR="001B7EAD">
        <w:rPr>
          <w:rFonts w:hint="eastAsia"/>
        </w:rPr>
        <w:t>0.13%</w:t>
      </w:r>
      <w:r w:rsidR="001B7EAD">
        <w:rPr>
          <w:rFonts w:hint="eastAsia"/>
        </w:rPr>
        <w:t>、</w:t>
      </w:r>
      <w:r w:rsidR="001B7EAD">
        <w:rPr>
          <w:rFonts w:hint="eastAsia"/>
        </w:rPr>
        <w:t>0.08%</w:t>
      </w:r>
      <w:r w:rsidR="001B7EAD">
        <w:rPr>
          <w:rFonts w:hint="eastAsia"/>
        </w:rPr>
        <w:t>的收益情况紧随其后。与此同时，</w:t>
      </w:r>
      <w:r w:rsidR="00EF2A9B">
        <w:rPr>
          <w:rFonts w:hint="eastAsia"/>
        </w:rPr>
        <w:t>7</w:t>
      </w:r>
      <w:r w:rsidR="00EF2A9B">
        <w:rPr>
          <w:rFonts w:hint="eastAsia"/>
        </w:rPr>
        <w:t>只保本策略产品</w:t>
      </w:r>
      <w:r w:rsidR="00EF2A9B">
        <w:rPr>
          <w:rFonts w:hint="eastAsia"/>
        </w:rPr>
        <w:t>10</w:t>
      </w:r>
      <w:r w:rsidR="00EF2A9B">
        <w:rPr>
          <w:rFonts w:hint="eastAsia"/>
        </w:rPr>
        <w:t>月小幅亏损</w:t>
      </w:r>
      <w:r w:rsidR="00EF2A9B">
        <w:rPr>
          <w:rFonts w:hint="eastAsia"/>
        </w:rPr>
        <w:t>0.02</w:t>
      </w:r>
      <w:r w:rsidR="00EF2A9B">
        <w:rPr>
          <w:rFonts w:hint="eastAsia"/>
        </w:rPr>
        <w:t>个百分点；</w:t>
      </w:r>
      <w:r w:rsidR="00EF2A9B">
        <w:rPr>
          <w:rFonts w:hint="eastAsia"/>
        </w:rPr>
        <w:t>3</w:t>
      </w:r>
      <w:r w:rsidR="00EF2A9B">
        <w:rPr>
          <w:rFonts w:hint="eastAsia"/>
        </w:rPr>
        <w:t>只市场中性策略、</w:t>
      </w:r>
      <w:r w:rsidR="00EF2A9B">
        <w:rPr>
          <w:rFonts w:hint="eastAsia"/>
        </w:rPr>
        <w:t>17</w:t>
      </w:r>
      <w:r w:rsidR="00EF2A9B">
        <w:rPr>
          <w:rFonts w:hint="eastAsia"/>
        </w:rPr>
        <w:t>只相对价值套利策略、以及</w:t>
      </w:r>
      <w:r w:rsidR="00EF2A9B">
        <w:rPr>
          <w:rFonts w:hint="eastAsia"/>
        </w:rPr>
        <w:t>37</w:t>
      </w:r>
      <w:r w:rsidR="00EF2A9B">
        <w:rPr>
          <w:rFonts w:hint="eastAsia"/>
        </w:rPr>
        <w:t>只多空对冲策略产品净值平均下行幅度不超过</w:t>
      </w:r>
      <w:r w:rsidR="00EF2A9B">
        <w:rPr>
          <w:rFonts w:hint="eastAsia"/>
        </w:rPr>
        <w:t>1%</w:t>
      </w:r>
      <w:r w:rsidR="00EE1D88">
        <w:rPr>
          <w:rFonts w:hint="eastAsia"/>
        </w:rPr>
        <w:t>；但是</w:t>
      </w:r>
      <w:r w:rsidR="00EE1D88">
        <w:rPr>
          <w:rFonts w:hint="eastAsia"/>
        </w:rPr>
        <w:t>9</w:t>
      </w:r>
      <w:r w:rsidR="00EE1D88">
        <w:rPr>
          <w:rFonts w:hint="eastAsia"/>
        </w:rPr>
        <w:t>月份</w:t>
      </w:r>
      <w:r w:rsidR="00EF2A9B">
        <w:rPr>
          <w:rFonts w:hint="eastAsia"/>
        </w:rPr>
        <w:t>表现较好的多头策略、指数型、定向增发、以及</w:t>
      </w:r>
      <w:r w:rsidR="00EF2A9B">
        <w:rPr>
          <w:rFonts w:hint="eastAsia"/>
        </w:rPr>
        <w:t>FOF</w:t>
      </w:r>
      <w:r w:rsidR="00EF2A9B">
        <w:rPr>
          <w:rFonts w:hint="eastAsia"/>
        </w:rPr>
        <w:t>型产品本月收益垫底，净值分别下跌</w:t>
      </w:r>
      <w:r w:rsidR="00EF2A9B">
        <w:rPr>
          <w:rFonts w:hint="eastAsia"/>
        </w:rPr>
        <w:t>1.35%</w:t>
      </w:r>
      <w:r w:rsidR="00EF2A9B">
        <w:rPr>
          <w:rFonts w:hint="eastAsia"/>
        </w:rPr>
        <w:t>、</w:t>
      </w:r>
      <w:r w:rsidR="00EF2A9B">
        <w:rPr>
          <w:rFonts w:hint="eastAsia"/>
        </w:rPr>
        <w:t>1.4%</w:t>
      </w:r>
      <w:r w:rsidR="00EF2A9B">
        <w:rPr>
          <w:rFonts w:hint="eastAsia"/>
        </w:rPr>
        <w:t>、</w:t>
      </w:r>
      <w:r w:rsidR="00EF2A9B">
        <w:rPr>
          <w:rFonts w:hint="eastAsia"/>
        </w:rPr>
        <w:t>1.8%</w:t>
      </w:r>
      <w:r w:rsidR="00EF2A9B">
        <w:rPr>
          <w:rFonts w:hint="eastAsia"/>
        </w:rPr>
        <w:t>、</w:t>
      </w:r>
      <w:r w:rsidR="00EF2A9B">
        <w:rPr>
          <w:rFonts w:hint="eastAsia"/>
        </w:rPr>
        <w:t>2.18%</w:t>
      </w:r>
      <w:r w:rsidR="00EF2A9B">
        <w:rPr>
          <w:rFonts w:hint="eastAsia"/>
        </w:rPr>
        <w:t>。</w:t>
      </w:r>
    </w:p>
    <w:p w:rsidR="007B2C78" w:rsidRDefault="00882AD4" w:rsidP="00AD54C8">
      <w:pPr>
        <w:pStyle w:val="ab"/>
        <w:numPr>
          <w:ilvl w:val="4"/>
          <w:numId w:val="1"/>
        </w:numPr>
        <w:spacing w:after="163"/>
        <w:rPr>
          <w:color w:val="auto"/>
        </w:rPr>
      </w:pPr>
      <w:r w:rsidRPr="00AD54C8">
        <w:rPr>
          <w:rFonts w:hint="eastAsia"/>
          <w:color w:val="auto"/>
        </w:rPr>
        <w:t>就管理人而言，</w:t>
      </w:r>
      <w:r w:rsidR="007426D9" w:rsidRPr="00AD54C8">
        <w:rPr>
          <w:rFonts w:hint="eastAsia"/>
          <w:color w:val="auto"/>
        </w:rPr>
        <w:t>旗下产品拥有</w:t>
      </w:r>
      <w:r w:rsidR="007426D9" w:rsidRPr="00AD54C8">
        <w:rPr>
          <w:rFonts w:hint="eastAsia"/>
          <w:color w:val="auto"/>
        </w:rPr>
        <w:t>1</w:t>
      </w:r>
      <w:r w:rsidR="00AD54C8" w:rsidRPr="00AD54C8">
        <w:rPr>
          <w:rFonts w:hint="eastAsia"/>
          <w:color w:val="auto"/>
        </w:rPr>
        <w:t>0</w:t>
      </w:r>
      <w:r w:rsidR="007426D9" w:rsidRPr="00AD54C8">
        <w:rPr>
          <w:rFonts w:hint="eastAsia"/>
          <w:color w:val="auto"/>
        </w:rPr>
        <w:t>月业绩的管理人共有</w:t>
      </w:r>
      <w:r w:rsidR="007426D9" w:rsidRPr="00AD54C8">
        <w:rPr>
          <w:rFonts w:hint="eastAsia"/>
          <w:color w:val="auto"/>
        </w:rPr>
        <w:t>85</w:t>
      </w:r>
      <w:r w:rsidR="007426D9" w:rsidRPr="00AD54C8">
        <w:rPr>
          <w:rFonts w:hint="eastAsia"/>
          <w:color w:val="auto"/>
        </w:rPr>
        <w:t>家，</w:t>
      </w:r>
      <w:r w:rsidR="00AD54C8" w:rsidRPr="00AD54C8">
        <w:rPr>
          <w:rFonts w:hint="eastAsia"/>
          <w:color w:val="auto"/>
        </w:rPr>
        <w:t>其中</w:t>
      </w:r>
      <w:r w:rsidR="00AD54C8" w:rsidRPr="00AD54C8">
        <w:rPr>
          <w:rFonts w:hint="eastAsia"/>
          <w:color w:val="auto"/>
        </w:rPr>
        <w:t>21</w:t>
      </w:r>
      <w:r w:rsidR="00AD54C8" w:rsidRPr="00AD54C8">
        <w:rPr>
          <w:rFonts w:hint="eastAsia"/>
          <w:color w:val="auto"/>
        </w:rPr>
        <w:t>家整体实现获益，排名前五的分别是</w:t>
      </w:r>
      <w:r w:rsidR="00CF7D8F">
        <w:rPr>
          <w:rFonts w:hint="eastAsia"/>
          <w:color w:val="auto"/>
        </w:rPr>
        <w:t>华鑫证券、兴业证券、中银国际证券、新时代证券、东兴证券，当月</w:t>
      </w:r>
      <w:r w:rsidR="00AD54C8" w:rsidRPr="00AD54C8">
        <w:rPr>
          <w:rFonts w:hint="eastAsia"/>
          <w:color w:val="auto"/>
        </w:rPr>
        <w:t>产品净值平均上涨</w:t>
      </w:r>
      <w:r w:rsidR="00AD54C8" w:rsidRPr="00AD54C8">
        <w:rPr>
          <w:color w:val="auto"/>
        </w:rPr>
        <w:t>5.13%</w:t>
      </w:r>
      <w:r w:rsidR="00AD54C8" w:rsidRPr="00AD54C8">
        <w:rPr>
          <w:rFonts w:hint="eastAsia"/>
          <w:color w:val="auto"/>
        </w:rPr>
        <w:t>、</w:t>
      </w:r>
      <w:r w:rsidR="00AD54C8" w:rsidRPr="00AD54C8">
        <w:rPr>
          <w:color w:val="auto"/>
        </w:rPr>
        <w:t>2.03%</w:t>
      </w:r>
      <w:r w:rsidR="00AD54C8" w:rsidRPr="00AD54C8">
        <w:rPr>
          <w:rFonts w:hint="eastAsia"/>
          <w:color w:val="auto"/>
        </w:rPr>
        <w:t>、</w:t>
      </w:r>
      <w:r w:rsidR="00AD54C8" w:rsidRPr="00AD54C8">
        <w:rPr>
          <w:color w:val="auto"/>
        </w:rPr>
        <w:t>1.45%</w:t>
      </w:r>
      <w:r w:rsidR="00AD54C8" w:rsidRPr="00AD54C8">
        <w:rPr>
          <w:rFonts w:hint="eastAsia"/>
          <w:color w:val="auto"/>
        </w:rPr>
        <w:t>、</w:t>
      </w:r>
      <w:r w:rsidR="00AD54C8" w:rsidRPr="00AD54C8">
        <w:rPr>
          <w:color w:val="auto"/>
        </w:rPr>
        <w:t>1.26%</w:t>
      </w:r>
      <w:r w:rsidR="00AD54C8" w:rsidRPr="00AD54C8">
        <w:rPr>
          <w:rFonts w:hint="eastAsia"/>
          <w:color w:val="auto"/>
        </w:rPr>
        <w:t>、</w:t>
      </w:r>
      <w:r w:rsidR="00AD54C8" w:rsidRPr="00AD54C8">
        <w:rPr>
          <w:color w:val="auto"/>
        </w:rPr>
        <w:t>1.01%</w:t>
      </w:r>
      <w:r w:rsidR="00AD54C8">
        <w:rPr>
          <w:rFonts w:hint="eastAsia"/>
          <w:color w:val="auto"/>
        </w:rPr>
        <w:t>。</w:t>
      </w:r>
    </w:p>
    <w:p w:rsidR="00CF7405" w:rsidRPr="00CF178D" w:rsidRDefault="00CF7405" w:rsidP="00CF7405">
      <w:pPr>
        <w:pStyle w:val="ab"/>
        <w:numPr>
          <w:ilvl w:val="5"/>
          <w:numId w:val="2"/>
        </w:numPr>
        <w:spacing w:after="163"/>
        <w:ind w:left="4140" w:hanging="369"/>
      </w:pPr>
      <w:r>
        <w:rPr>
          <w:rFonts w:hint="eastAsia"/>
        </w:rPr>
        <w:t>具体来看，</w:t>
      </w:r>
      <w:r w:rsidR="007329E2" w:rsidRPr="00AD54C8">
        <w:rPr>
          <w:rFonts w:hint="eastAsia"/>
          <w:color w:val="auto"/>
        </w:rPr>
        <w:t>华鑫证券</w:t>
      </w:r>
      <w:r w:rsidR="000E6F24">
        <w:rPr>
          <w:rFonts w:hint="eastAsia"/>
          <w:color w:val="auto"/>
        </w:rPr>
        <w:t>受益于旗下产品</w:t>
      </w:r>
      <w:r w:rsidR="000E6F24" w:rsidRPr="00A36596">
        <w:rPr>
          <w:rFonts w:hint="eastAsia"/>
          <w:color w:val="auto"/>
        </w:rPr>
        <w:t>华鑫鑫</w:t>
      </w:r>
      <w:proofErr w:type="gramStart"/>
      <w:r w:rsidR="000E6F24" w:rsidRPr="00A36596">
        <w:rPr>
          <w:rFonts w:hint="eastAsia"/>
          <w:color w:val="auto"/>
        </w:rPr>
        <w:t>财富智享</w:t>
      </w:r>
      <w:r w:rsidR="000E6F24" w:rsidRPr="00A36596">
        <w:rPr>
          <w:rFonts w:hint="eastAsia"/>
          <w:color w:val="auto"/>
        </w:rPr>
        <w:t>3</w:t>
      </w:r>
      <w:r w:rsidR="000E6F24" w:rsidRPr="00A36596">
        <w:rPr>
          <w:rFonts w:hint="eastAsia"/>
          <w:color w:val="auto"/>
        </w:rPr>
        <w:t>号</w:t>
      </w:r>
      <w:proofErr w:type="gramEnd"/>
      <w:r w:rsidR="000E6F24">
        <w:rPr>
          <w:rFonts w:hint="eastAsia"/>
          <w:color w:val="auto"/>
        </w:rPr>
        <w:t>的突出表现</w:t>
      </w:r>
      <w:r w:rsidR="000E6F24">
        <w:rPr>
          <w:rFonts w:hint="eastAsia"/>
          <w:color w:val="auto"/>
        </w:rPr>
        <w:t>,</w:t>
      </w:r>
      <w:r w:rsidR="007329E2">
        <w:rPr>
          <w:rFonts w:hint="eastAsia"/>
          <w:color w:val="auto"/>
        </w:rPr>
        <w:t>以</w:t>
      </w:r>
      <w:r w:rsidR="007329E2">
        <w:rPr>
          <w:rFonts w:hint="eastAsia"/>
          <w:color w:val="auto"/>
        </w:rPr>
        <w:t>5.13%</w:t>
      </w:r>
      <w:r w:rsidR="000E6F24">
        <w:rPr>
          <w:rFonts w:hint="eastAsia"/>
          <w:color w:val="auto"/>
        </w:rPr>
        <w:t>的收益位居榜首</w:t>
      </w:r>
      <w:r w:rsidR="00E92830">
        <w:rPr>
          <w:rFonts w:hint="eastAsia"/>
          <w:color w:val="auto"/>
        </w:rPr>
        <w:t>，公司总体注重多角度投资，在把握具备估值优势行业的同时，关注成长性较好的新兴产业领域主题投资机会，同时择机投资传统周期股</w:t>
      </w:r>
      <w:r w:rsidR="00757A99">
        <w:rPr>
          <w:rFonts w:hint="eastAsia"/>
          <w:color w:val="auto"/>
        </w:rPr>
        <w:t>；</w:t>
      </w:r>
      <w:r w:rsidR="007329E2">
        <w:rPr>
          <w:rFonts w:hint="eastAsia"/>
          <w:color w:val="auto"/>
        </w:rPr>
        <w:t>位居第二的兴业证券</w:t>
      </w:r>
      <w:r w:rsidR="00742139">
        <w:rPr>
          <w:rFonts w:hint="eastAsia"/>
          <w:color w:val="auto"/>
        </w:rPr>
        <w:t>，</w:t>
      </w:r>
      <w:r w:rsidR="000E6F24">
        <w:rPr>
          <w:rFonts w:hint="eastAsia"/>
          <w:color w:val="auto"/>
        </w:rPr>
        <w:t>旗下产品在</w:t>
      </w:r>
      <w:r w:rsidR="005807E3">
        <w:rPr>
          <w:rFonts w:hint="eastAsia"/>
          <w:color w:val="auto"/>
        </w:rPr>
        <w:t>四季度初始对股票</w:t>
      </w:r>
      <w:proofErr w:type="gramStart"/>
      <w:r w:rsidR="005807E3">
        <w:rPr>
          <w:rFonts w:hint="eastAsia"/>
          <w:color w:val="auto"/>
        </w:rPr>
        <w:t>仓位</w:t>
      </w:r>
      <w:proofErr w:type="gramEnd"/>
      <w:r w:rsidR="005807E3">
        <w:rPr>
          <w:rFonts w:hint="eastAsia"/>
          <w:color w:val="auto"/>
        </w:rPr>
        <w:t>进行了及时调整，因而面对市场下行更显从容</w:t>
      </w:r>
      <w:r w:rsidR="00CF7D8F">
        <w:rPr>
          <w:rFonts w:hint="eastAsia"/>
          <w:color w:val="auto"/>
        </w:rPr>
        <w:t>，</w:t>
      </w:r>
      <w:r w:rsidR="008A2FD6">
        <w:rPr>
          <w:rFonts w:hint="eastAsia"/>
          <w:color w:val="auto"/>
        </w:rPr>
        <w:t>金麒麟、玉麒麟系列</w:t>
      </w:r>
      <w:r w:rsidR="000E6F24">
        <w:rPr>
          <w:rFonts w:hint="eastAsia"/>
          <w:color w:val="auto"/>
        </w:rPr>
        <w:t>均</w:t>
      </w:r>
      <w:r w:rsidR="007329E2">
        <w:rPr>
          <w:rFonts w:hint="eastAsia"/>
          <w:color w:val="auto"/>
        </w:rPr>
        <w:t>表现稳健，产品之间几乎没有</w:t>
      </w:r>
      <w:r w:rsidR="008A2FD6">
        <w:rPr>
          <w:rFonts w:hint="eastAsia"/>
          <w:color w:val="auto"/>
        </w:rPr>
        <w:t>十分</w:t>
      </w:r>
      <w:r w:rsidR="007329E2">
        <w:rPr>
          <w:rFonts w:hint="eastAsia"/>
          <w:color w:val="auto"/>
        </w:rPr>
        <w:t>明显</w:t>
      </w:r>
      <w:r w:rsidR="008A2FD6">
        <w:rPr>
          <w:rFonts w:hint="eastAsia"/>
          <w:color w:val="auto"/>
        </w:rPr>
        <w:t>的</w:t>
      </w:r>
      <w:r w:rsidR="007329E2">
        <w:rPr>
          <w:rFonts w:hint="eastAsia"/>
          <w:color w:val="auto"/>
        </w:rPr>
        <w:t>分化</w:t>
      </w:r>
      <w:r w:rsidR="008A2FD6">
        <w:rPr>
          <w:rFonts w:hint="eastAsia"/>
          <w:color w:val="auto"/>
        </w:rPr>
        <w:t>；</w:t>
      </w:r>
      <w:r w:rsidR="005807E3">
        <w:rPr>
          <w:rFonts w:hint="eastAsia"/>
          <w:color w:val="auto"/>
        </w:rPr>
        <w:t>紧随其后的</w:t>
      </w:r>
      <w:r w:rsidR="008A2FD6">
        <w:rPr>
          <w:rFonts w:hint="eastAsia"/>
          <w:color w:val="auto"/>
        </w:rPr>
        <w:t>中银国际证券</w:t>
      </w:r>
      <w:r w:rsidR="005807E3">
        <w:rPr>
          <w:rFonts w:hint="eastAsia"/>
          <w:color w:val="auto"/>
        </w:rPr>
        <w:t>比较注重自下而上的个股选择，</w:t>
      </w:r>
      <w:r w:rsidR="00742139">
        <w:rPr>
          <w:rFonts w:hint="eastAsia"/>
          <w:color w:val="auto"/>
        </w:rPr>
        <w:t>对于市场热点的追逐更多保持平静的心态，进入四季度以来，公司偏防御</w:t>
      </w:r>
      <w:r w:rsidR="00CF178D">
        <w:rPr>
          <w:rFonts w:hint="eastAsia"/>
          <w:color w:val="auto"/>
        </w:rPr>
        <w:t>的操作策略在宽幅震荡中优势显现。</w:t>
      </w:r>
    </w:p>
    <w:p w:rsidR="00E30E08" w:rsidRDefault="00CF178D" w:rsidP="00CF178D">
      <w:pPr>
        <w:pStyle w:val="ab"/>
        <w:numPr>
          <w:ilvl w:val="4"/>
          <w:numId w:val="1"/>
        </w:numPr>
        <w:spacing w:after="163"/>
        <w:rPr>
          <w:color w:val="auto"/>
        </w:rPr>
      </w:pPr>
      <w:r>
        <w:rPr>
          <w:rFonts w:hint="eastAsia"/>
          <w:color w:val="auto"/>
        </w:rPr>
        <w:t>具体产品方面，尽管在策略类型上</w:t>
      </w:r>
      <w:r w:rsidRPr="00A36596">
        <w:rPr>
          <w:rFonts w:hint="eastAsia"/>
          <w:color w:val="auto"/>
        </w:rPr>
        <w:t>存在着</w:t>
      </w:r>
      <w:r w:rsidR="00A51A00">
        <w:rPr>
          <w:rFonts w:hint="eastAsia"/>
          <w:color w:val="auto"/>
        </w:rPr>
        <w:t>前面提到的</w:t>
      </w:r>
      <w:r w:rsidRPr="00A36596">
        <w:rPr>
          <w:rFonts w:hint="eastAsia"/>
          <w:color w:val="auto"/>
        </w:rPr>
        <w:t>特点，即固定收益</w:t>
      </w:r>
      <w:proofErr w:type="gramStart"/>
      <w:r w:rsidRPr="00A36596">
        <w:rPr>
          <w:rFonts w:hint="eastAsia"/>
          <w:color w:val="auto"/>
        </w:rPr>
        <w:t>类普遍</w:t>
      </w:r>
      <w:proofErr w:type="gramEnd"/>
      <w:r w:rsidRPr="00A36596">
        <w:rPr>
          <w:rFonts w:hint="eastAsia"/>
          <w:color w:val="auto"/>
        </w:rPr>
        <w:t>好于权益类品种，但是</w:t>
      </w:r>
      <w:r>
        <w:rPr>
          <w:rFonts w:hint="eastAsia"/>
          <w:color w:val="auto"/>
        </w:rPr>
        <w:t>仅聚焦个体而言</w:t>
      </w:r>
      <w:r w:rsidRPr="00A36596">
        <w:rPr>
          <w:rFonts w:hint="eastAsia"/>
          <w:color w:val="auto"/>
        </w:rPr>
        <w:t>，收益表现突出的依旧是多头策略</w:t>
      </w:r>
      <w:r>
        <w:rPr>
          <w:rFonts w:hint="eastAsia"/>
          <w:color w:val="auto"/>
        </w:rPr>
        <w:t>品种</w:t>
      </w:r>
      <w:r w:rsidRPr="00A36596">
        <w:rPr>
          <w:rFonts w:hint="eastAsia"/>
          <w:color w:val="auto"/>
        </w:rPr>
        <w:t>。这主要是由于该类产品在震荡市中，对投资经理投资管理能力要求往往更高，因而产品之间业绩分化比较明显。仅就</w:t>
      </w:r>
      <w:r w:rsidRPr="00A36596">
        <w:rPr>
          <w:rFonts w:hint="eastAsia"/>
          <w:color w:val="auto"/>
        </w:rPr>
        <w:t>10</w:t>
      </w:r>
      <w:r w:rsidRPr="00A36596">
        <w:rPr>
          <w:rFonts w:hint="eastAsia"/>
          <w:color w:val="auto"/>
        </w:rPr>
        <w:t>月来看，华鑫鑫</w:t>
      </w:r>
      <w:proofErr w:type="gramStart"/>
      <w:r w:rsidRPr="00A36596">
        <w:rPr>
          <w:rFonts w:hint="eastAsia"/>
          <w:color w:val="auto"/>
        </w:rPr>
        <w:t>财富智享</w:t>
      </w:r>
      <w:r w:rsidRPr="00A36596">
        <w:rPr>
          <w:rFonts w:hint="eastAsia"/>
          <w:color w:val="auto"/>
        </w:rPr>
        <w:t>3</w:t>
      </w:r>
      <w:r w:rsidRPr="00A36596">
        <w:rPr>
          <w:rFonts w:hint="eastAsia"/>
          <w:color w:val="auto"/>
        </w:rPr>
        <w:t>号</w:t>
      </w:r>
      <w:proofErr w:type="gramEnd"/>
      <w:r w:rsidRPr="00A36596">
        <w:rPr>
          <w:rFonts w:hint="eastAsia"/>
          <w:color w:val="auto"/>
        </w:rPr>
        <w:t>作为多头策略产品之一，以</w:t>
      </w:r>
      <w:r w:rsidRPr="00A36596">
        <w:rPr>
          <w:rFonts w:hint="eastAsia"/>
          <w:color w:val="auto"/>
        </w:rPr>
        <w:t>28.30%</w:t>
      </w:r>
      <w:r w:rsidRPr="00A36596">
        <w:rPr>
          <w:rFonts w:hint="eastAsia"/>
          <w:color w:val="auto"/>
        </w:rPr>
        <w:t>的收益位居传统集合理财产品（包含母基金，但不含分级份额）榜首。该产品</w:t>
      </w:r>
      <w:proofErr w:type="gramStart"/>
      <w:r w:rsidR="000B3093">
        <w:rPr>
          <w:rFonts w:hint="eastAsia"/>
          <w:color w:val="auto"/>
        </w:rPr>
        <w:t>仓位</w:t>
      </w:r>
      <w:proofErr w:type="gramEnd"/>
      <w:r w:rsidR="000B3093">
        <w:rPr>
          <w:rFonts w:hint="eastAsia"/>
          <w:color w:val="auto"/>
        </w:rPr>
        <w:t>调整积极灵活，</w:t>
      </w:r>
      <w:r w:rsidRPr="00A36596">
        <w:rPr>
          <w:rFonts w:hint="eastAsia"/>
          <w:color w:val="auto"/>
        </w:rPr>
        <w:t>主要投资低估值、业绩增速有保证的绩优蓝筹股，除此之外，布局受益于国产替代的</w:t>
      </w:r>
      <w:r w:rsidRPr="00A36596">
        <w:rPr>
          <w:rFonts w:hint="eastAsia"/>
          <w:color w:val="auto"/>
        </w:rPr>
        <w:t>IT</w:t>
      </w:r>
      <w:r w:rsidRPr="00A36596">
        <w:rPr>
          <w:rFonts w:hint="eastAsia"/>
          <w:color w:val="auto"/>
        </w:rPr>
        <w:t>、通信设备行业，以及受益于政策的环保、新能源</w:t>
      </w:r>
      <w:r w:rsidR="00A51A00">
        <w:rPr>
          <w:rFonts w:hint="eastAsia"/>
          <w:color w:val="auto"/>
        </w:rPr>
        <w:t>等等行业，</w:t>
      </w:r>
      <w:r w:rsidRPr="00A36596">
        <w:rPr>
          <w:rFonts w:hint="eastAsia"/>
          <w:color w:val="auto"/>
        </w:rPr>
        <w:t>对于股票</w:t>
      </w:r>
      <w:proofErr w:type="gramStart"/>
      <w:r w:rsidRPr="00A36596">
        <w:rPr>
          <w:rFonts w:hint="eastAsia"/>
          <w:color w:val="auto"/>
        </w:rPr>
        <w:t>仓位</w:t>
      </w:r>
      <w:proofErr w:type="gramEnd"/>
      <w:r w:rsidRPr="00A36596">
        <w:rPr>
          <w:rFonts w:hint="eastAsia"/>
          <w:color w:val="auto"/>
        </w:rPr>
        <w:t>的积极灵活调整，在很大程度上减低了其在</w:t>
      </w:r>
      <w:r w:rsidRPr="00A36596">
        <w:rPr>
          <w:rFonts w:hint="eastAsia"/>
          <w:color w:val="auto"/>
        </w:rPr>
        <w:t>10</w:t>
      </w:r>
      <w:r w:rsidRPr="00A36596">
        <w:rPr>
          <w:rFonts w:hint="eastAsia"/>
          <w:color w:val="auto"/>
        </w:rPr>
        <w:t>月下旬市场下跌中净值的缩水程度。</w:t>
      </w:r>
      <w:r>
        <w:rPr>
          <w:rFonts w:hint="eastAsia"/>
          <w:color w:val="auto"/>
        </w:rPr>
        <w:t>与此同时，</w:t>
      </w:r>
      <w:r w:rsidRPr="00A36596">
        <w:rPr>
          <w:rFonts w:hint="eastAsia"/>
          <w:color w:val="auto"/>
        </w:rPr>
        <w:t>收益排名靠前的还有兴业玉麒麟价值成长、国泰君安</w:t>
      </w:r>
      <w:proofErr w:type="gramStart"/>
      <w:r w:rsidRPr="00A36596">
        <w:rPr>
          <w:rFonts w:hint="eastAsia"/>
          <w:color w:val="auto"/>
        </w:rPr>
        <w:t>君享陆</w:t>
      </w:r>
      <w:proofErr w:type="gramEnd"/>
      <w:r w:rsidRPr="00A36596">
        <w:rPr>
          <w:rFonts w:hint="eastAsia"/>
          <w:color w:val="auto"/>
        </w:rPr>
        <w:t>金一号、以及东兴</w:t>
      </w:r>
      <w:r w:rsidRPr="00A36596">
        <w:rPr>
          <w:rFonts w:hint="eastAsia"/>
          <w:color w:val="auto"/>
        </w:rPr>
        <w:t>2</w:t>
      </w:r>
      <w:r w:rsidRPr="00A36596">
        <w:rPr>
          <w:rFonts w:hint="eastAsia"/>
          <w:color w:val="auto"/>
        </w:rPr>
        <w:t>号</w:t>
      </w:r>
      <w:r>
        <w:rPr>
          <w:rFonts w:hint="eastAsia"/>
          <w:color w:val="auto"/>
        </w:rPr>
        <w:t>这三只</w:t>
      </w:r>
      <w:r w:rsidRPr="00A36596">
        <w:rPr>
          <w:rFonts w:hint="eastAsia"/>
          <w:color w:val="auto"/>
        </w:rPr>
        <w:t>多头策略产品，当月收益水平</w:t>
      </w:r>
      <w:r w:rsidR="00CF7D8F">
        <w:rPr>
          <w:rFonts w:hint="eastAsia"/>
          <w:color w:val="auto"/>
        </w:rPr>
        <w:t>也</w:t>
      </w:r>
      <w:r w:rsidRPr="00A36596">
        <w:rPr>
          <w:rFonts w:hint="eastAsia"/>
          <w:color w:val="auto"/>
        </w:rPr>
        <w:t>均在</w:t>
      </w:r>
      <w:r w:rsidRPr="00A36596">
        <w:rPr>
          <w:rFonts w:hint="eastAsia"/>
          <w:color w:val="auto"/>
        </w:rPr>
        <w:t>6%</w:t>
      </w:r>
      <w:r w:rsidRPr="00A36596">
        <w:rPr>
          <w:rFonts w:hint="eastAsia"/>
          <w:color w:val="auto"/>
        </w:rPr>
        <w:t>以上。</w:t>
      </w:r>
    </w:p>
    <w:p w:rsidR="00CF178D" w:rsidRDefault="00E30E08" w:rsidP="00E30E08">
      <w:pPr>
        <w:widowControl/>
        <w:spacing w:after="120" w:line="240" w:lineRule="exact"/>
        <w:ind w:left="3430"/>
        <w:rPr>
          <w:rFonts w:ascii="Arial" w:eastAsia="楷体_GB2312" w:hAnsi="Arial" w:cs="Times New Roman"/>
          <w:b/>
          <w:bCs/>
          <w:color w:val="0070C0"/>
          <w:kern w:val="0"/>
          <w:sz w:val="24"/>
          <w:szCs w:val="20"/>
          <w:lang w:val="en-GB"/>
        </w:rPr>
      </w:pPr>
      <w:r>
        <w:rPr>
          <w:rFonts w:ascii="Arial" w:eastAsia="楷体_GB2312" w:hAnsi="Arial" w:cs="Times New Roman" w:hint="eastAsia"/>
          <w:b/>
          <w:bCs/>
          <w:color w:val="0070C0"/>
          <w:kern w:val="0"/>
          <w:sz w:val="24"/>
          <w:szCs w:val="20"/>
          <w:lang w:val="en-GB"/>
        </w:rPr>
        <w:t>投资建议：</w:t>
      </w:r>
      <w:r w:rsidR="00227CD6">
        <w:rPr>
          <w:rFonts w:ascii="Arial" w:eastAsia="楷体_GB2312" w:hAnsi="Arial" w:cs="Times New Roman" w:hint="eastAsia"/>
          <w:b/>
          <w:bCs/>
          <w:color w:val="0070C0"/>
          <w:kern w:val="0"/>
          <w:sz w:val="24"/>
          <w:szCs w:val="20"/>
          <w:lang w:val="en-GB"/>
        </w:rPr>
        <w:t>资产稳定为依托，</w:t>
      </w:r>
      <w:r w:rsidR="00637EC3">
        <w:rPr>
          <w:rFonts w:ascii="Arial" w:eastAsia="楷体_GB2312" w:hAnsi="Arial" w:cs="Times New Roman" w:hint="eastAsia"/>
          <w:b/>
          <w:bCs/>
          <w:color w:val="0070C0"/>
          <w:kern w:val="0"/>
          <w:sz w:val="24"/>
          <w:szCs w:val="20"/>
          <w:lang w:val="en-GB"/>
        </w:rPr>
        <w:t>灵活选股为突破</w:t>
      </w:r>
    </w:p>
    <w:p w:rsidR="00176EC9" w:rsidRDefault="0046013C" w:rsidP="00E30E08">
      <w:pPr>
        <w:pStyle w:val="ab"/>
        <w:numPr>
          <w:ilvl w:val="4"/>
          <w:numId w:val="1"/>
        </w:numPr>
        <w:spacing w:after="163"/>
        <w:rPr>
          <w:color w:val="auto"/>
        </w:rPr>
      </w:pPr>
      <w:r>
        <w:rPr>
          <w:rFonts w:hint="eastAsia"/>
          <w:color w:val="auto"/>
        </w:rPr>
        <w:t>股票市场方面，</w:t>
      </w:r>
      <w:r w:rsidR="00176EC9">
        <w:rPr>
          <w:rFonts w:hint="eastAsia"/>
          <w:color w:val="auto"/>
        </w:rPr>
        <w:t>随着十八届三中全会的召开，以及</w:t>
      </w:r>
      <w:r w:rsidR="0081258B">
        <w:rPr>
          <w:rFonts w:hint="eastAsia"/>
          <w:color w:val="auto"/>
        </w:rPr>
        <w:t>《决定》</w:t>
      </w:r>
      <w:r w:rsidR="00176EC9">
        <w:rPr>
          <w:rFonts w:hint="eastAsia"/>
          <w:color w:val="auto"/>
        </w:rPr>
        <w:t>的发布，</w:t>
      </w:r>
      <w:r w:rsidR="00884763">
        <w:rPr>
          <w:rFonts w:hint="eastAsia"/>
          <w:color w:val="auto"/>
        </w:rPr>
        <w:t>市场对于政府力争实现的</w:t>
      </w:r>
      <w:r w:rsidR="00C4118D">
        <w:rPr>
          <w:rFonts w:hint="eastAsia"/>
          <w:color w:val="auto"/>
        </w:rPr>
        <w:t>改革</w:t>
      </w:r>
      <w:r w:rsidR="00884763">
        <w:rPr>
          <w:rFonts w:hint="eastAsia"/>
          <w:color w:val="auto"/>
        </w:rPr>
        <w:t>成就</w:t>
      </w:r>
      <w:r w:rsidR="00C4118D">
        <w:rPr>
          <w:rFonts w:hint="eastAsia"/>
          <w:color w:val="auto"/>
        </w:rPr>
        <w:t>预期愈渐浓厚，</w:t>
      </w:r>
      <w:r w:rsidR="005A787D">
        <w:rPr>
          <w:rFonts w:hint="eastAsia"/>
          <w:color w:val="auto"/>
        </w:rPr>
        <w:t>尽管</w:t>
      </w:r>
      <w:r w:rsidR="005F2FD5">
        <w:rPr>
          <w:rFonts w:hint="eastAsia"/>
          <w:color w:val="auto"/>
        </w:rPr>
        <w:t>很多领域</w:t>
      </w:r>
      <w:r w:rsidR="0072574F">
        <w:rPr>
          <w:rFonts w:hint="eastAsia"/>
          <w:color w:val="auto"/>
        </w:rPr>
        <w:t>，诸如</w:t>
      </w:r>
      <w:r w:rsidR="0072574F" w:rsidRPr="0081258B">
        <w:rPr>
          <w:rFonts w:hint="eastAsia"/>
          <w:color w:val="auto"/>
        </w:rPr>
        <w:t>证券保险、自贸区、土地流转、国防军工</w:t>
      </w:r>
      <w:r w:rsidR="003574B1">
        <w:rPr>
          <w:rFonts w:hint="eastAsia"/>
          <w:color w:val="auto"/>
        </w:rPr>
        <w:t>、</w:t>
      </w:r>
      <w:r w:rsidR="0072574F" w:rsidRPr="0081258B">
        <w:rPr>
          <w:rFonts w:hint="eastAsia"/>
          <w:color w:val="auto"/>
        </w:rPr>
        <w:t>文化传媒等</w:t>
      </w:r>
      <w:r w:rsidR="005F2FD5">
        <w:rPr>
          <w:rFonts w:hint="eastAsia"/>
          <w:color w:val="auto"/>
        </w:rPr>
        <w:t>在</w:t>
      </w:r>
      <w:r w:rsidR="005A787D">
        <w:rPr>
          <w:rFonts w:hint="eastAsia"/>
          <w:color w:val="auto"/>
        </w:rPr>
        <w:t>前期</w:t>
      </w:r>
      <w:r w:rsidR="005F2FD5">
        <w:rPr>
          <w:rFonts w:hint="eastAsia"/>
          <w:color w:val="auto"/>
        </w:rPr>
        <w:t>已经</w:t>
      </w:r>
      <w:r w:rsidR="00F735CC">
        <w:rPr>
          <w:rFonts w:hint="eastAsia"/>
          <w:color w:val="auto"/>
        </w:rPr>
        <w:t>受到了追捧</w:t>
      </w:r>
      <w:r w:rsidR="005F2FD5">
        <w:rPr>
          <w:rFonts w:hint="eastAsia"/>
          <w:color w:val="auto"/>
        </w:rPr>
        <w:t>，但是</w:t>
      </w:r>
      <w:r w:rsidR="007C6FD5">
        <w:rPr>
          <w:rFonts w:hint="eastAsia"/>
          <w:color w:val="auto"/>
        </w:rPr>
        <w:t>未来</w:t>
      </w:r>
      <w:r w:rsidR="006A05A5">
        <w:rPr>
          <w:rFonts w:hint="eastAsia"/>
          <w:color w:val="auto"/>
        </w:rPr>
        <w:t>随着各项政策进入</w:t>
      </w:r>
      <w:r w:rsidR="00EB3D89">
        <w:rPr>
          <w:rFonts w:hint="eastAsia"/>
          <w:color w:val="auto"/>
        </w:rPr>
        <w:t>落实</w:t>
      </w:r>
      <w:r w:rsidR="006A05A5">
        <w:rPr>
          <w:rFonts w:hint="eastAsia"/>
          <w:color w:val="auto"/>
        </w:rPr>
        <w:t>阶段，</w:t>
      </w:r>
      <w:r w:rsidR="0072574F">
        <w:rPr>
          <w:rFonts w:hint="eastAsia"/>
          <w:color w:val="auto"/>
        </w:rPr>
        <w:t>这些</w:t>
      </w:r>
      <w:r w:rsidR="0081258B">
        <w:rPr>
          <w:rFonts w:hint="eastAsia"/>
          <w:color w:val="auto"/>
        </w:rPr>
        <w:t>改革相关概念依旧拥有投</w:t>
      </w:r>
      <w:r w:rsidR="0077153C">
        <w:rPr>
          <w:rFonts w:hint="eastAsia"/>
          <w:color w:val="auto"/>
        </w:rPr>
        <w:t>资机会</w:t>
      </w:r>
      <w:r w:rsidR="0072574F">
        <w:rPr>
          <w:rFonts w:hint="eastAsia"/>
          <w:color w:val="auto"/>
        </w:rPr>
        <w:t>。</w:t>
      </w:r>
      <w:r w:rsidR="00884763">
        <w:rPr>
          <w:rFonts w:hint="eastAsia"/>
          <w:color w:val="auto"/>
        </w:rPr>
        <w:t>当然，在热点投资机会</w:t>
      </w:r>
      <w:r w:rsidR="007C6FD5">
        <w:rPr>
          <w:rFonts w:hint="eastAsia"/>
          <w:color w:val="auto"/>
        </w:rPr>
        <w:t>充斥市场的同时，由于经济复苏之路</w:t>
      </w:r>
      <w:r w:rsidR="004D22E6">
        <w:rPr>
          <w:rFonts w:hint="eastAsia"/>
          <w:color w:val="auto"/>
        </w:rPr>
        <w:t>仍将漫长</w:t>
      </w:r>
      <w:r w:rsidR="007C6FD5">
        <w:rPr>
          <w:rFonts w:hint="eastAsia"/>
          <w:color w:val="auto"/>
        </w:rPr>
        <w:t>，加上</w:t>
      </w:r>
      <w:r w:rsidR="004D22E6">
        <w:rPr>
          <w:rFonts w:hint="eastAsia"/>
          <w:color w:val="auto"/>
        </w:rPr>
        <w:t>当前货币政策下</w:t>
      </w:r>
      <w:r w:rsidR="00321AF6">
        <w:rPr>
          <w:rFonts w:hint="eastAsia"/>
          <w:color w:val="auto"/>
        </w:rPr>
        <w:t>，</w:t>
      </w:r>
      <w:r w:rsidR="004D22E6">
        <w:rPr>
          <w:rFonts w:hint="eastAsia"/>
          <w:color w:val="auto"/>
        </w:rPr>
        <w:t>流动性这一制约因素难以彻底扭转</w:t>
      </w:r>
      <w:r w:rsidR="007C6FD5">
        <w:rPr>
          <w:rFonts w:hint="eastAsia"/>
          <w:color w:val="auto"/>
        </w:rPr>
        <w:t>，因而</w:t>
      </w:r>
      <w:r w:rsidR="00514A72">
        <w:rPr>
          <w:rFonts w:hint="eastAsia"/>
          <w:color w:val="auto"/>
        </w:rPr>
        <w:t>短期内</w:t>
      </w:r>
      <w:r w:rsidR="007C6FD5">
        <w:rPr>
          <w:rFonts w:hint="eastAsia"/>
          <w:color w:val="auto"/>
        </w:rPr>
        <w:t>A</w:t>
      </w:r>
      <w:r w:rsidR="007C6FD5">
        <w:rPr>
          <w:rFonts w:hint="eastAsia"/>
          <w:color w:val="auto"/>
        </w:rPr>
        <w:t>股市场</w:t>
      </w:r>
      <w:r w:rsidR="004D22E6">
        <w:rPr>
          <w:rFonts w:hint="eastAsia"/>
          <w:color w:val="auto"/>
        </w:rPr>
        <w:t>震荡波动将是大概率事件</w:t>
      </w:r>
      <w:r w:rsidR="007C6FD5" w:rsidRPr="004D22E6">
        <w:rPr>
          <w:rFonts w:hint="eastAsia"/>
          <w:color w:val="auto"/>
        </w:rPr>
        <w:t>，</w:t>
      </w:r>
      <w:r w:rsidR="00514A72">
        <w:rPr>
          <w:rFonts w:hint="eastAsia"/>
          <w:color w:val="auto"/>
        </w:rPr>
        <w:t>整体</w:t>
      </w:r>
      <w:r w:rsidR="004D22E6" w:rsidRPr="004D22E6">
        <w:rPr>
          <w:rFonts w:hint="eastAsia"/>
          <w:color w:val="auto"/>
        </w:rPr>
        <w:t>下行风险犹存。</w:t>
      </w:r>
      <w:r w:rsidR="00EB3D89">
        <w:rPr>
          <w:rFonts w:hint="eastAsia"/>
          <w:color w:val="auto"/>
        </w:rPr>
        <w:t>债券市场方面，</w:t>
      </w:r>
      <w:r w:rsidR="003028F7">
        <w:rPr>
          <w:rFonts w:hint="eastAsia"/>
          <w:color w:val="auto"/>
        </w:rPr>
        <w:t>尽管近期资金面紧张程度的</w:t>
      </w:r>
      <w:r w:rsidR="00514A72">
        <w:rPr>
          <w:rFonts w:hint="eastAsia"/>
          <w:color w:val="auto"/>
        </w:rPr>
        <w:t>暂时</w:t>
      </w:r>
      <w:r w:rsidR="003028F7">
        <w:rPr>
          <w:rFonts w:hint="eastAsia"/>
          <w:color w:val="auto"/>
        </w:rPr>
        <w:t>缓解对于整个债市有一定的利好，但是制约</w:t>
      </w:r>
      <w:r w:rsidR="00EB3D89">
        <w:rPr>
          <w:rFonts w:hint="eastAsia"/>
          <w:color w:val="auto"/>
        </w:rPr>
        <w:t>债券市场</w:t>
      </w:r>
      <w:r w:rsidR="003028F7">
        <w:rPr>
          <w:rFonts w:hint="eastAsia"/>
          <w:color w:val="auto"/>
        </w:rPr>
        <w:t>表现的根源还是在于非标资产的挤占，</w:t>
      </w:r>
      <w:r>
        <w:rPr>
          <w:rFonts w:hint="eastAsia"/>
          <w:color w:val="auto"/>
        </w:rPr>
        <w:t>因此，在政府开展实质性举措控制非标业务之前，债券市场的投资机会依旧有限。</w:t>
      </w:r>
    </w:p>
    <w:p w:rsidR="00EA1509" w:rsidRDefault="00B4668A" w:rsidP="00E30E08">
      <w:pPr>
        <w:pStyle w:val="ab"/>
        <w:numPr>
          <w:ilvl w:val="4"/>
          <w:numId w:val="1"/>
        </w:numPr>
        <w:spacing w:after="163"/>
        <w:rPr>
          <w:color w:val="auto"/>
        </w:rPr>
      </w:pPr>
      <w:r w:rsidRPr="00E30E08">
        <w:rPr>
          <w:rFonts w:hint="eastAsia"/>
          <w:color w:val="auto"/>
        </w:rPr>
        <w:lastRenderedPageBreak/>
        <w:t>鉴于此，我们建议在券商集合理财产品的配置上，</w:t>
      </w:r>
      <w:r w:rsidR="00CF6286">
        <w:rPr>
          <w:rFonts w:hint="eastAsia"/>
          <w:color w:val="auto"/>
        </w:rPr>
        <w:t>应首先注重资产本身的安全性，以收益稳定为依托，与此同时，面对热点板块机会，以灵活选</w:t>
      </w:r>
      <w:proofErr w:type="gramStart"/>
      <w:r w:rsidR="00CF6286">
        <w:rPr>
          <w:rFonts w:hint="eastAsia"/>
          <w:color w:val="auto"/>
        </w:rPr>
        <w:t>股能力</w:t>
      </w:r>
      <w:proofErr w:type="gramEnd"/>
      <w:r w:rsidR="00CF6286">
        <w:rPr>
          <w:rFonts w:hint="eastAsia"/>
          <w:color w:val="auto"/>
        </w:rPr>
        <w:t>为突破。</w:t>
      </w:r>
      <w:r w:rsidR="00EA1509">
        <w:rPr>
          <w:rFonts w:hint="eastAsia"/>
          <w:color w:val="auto"/>
        </w:rPr>
        <w:t>具体来看，业绩稳定性相对较高的产品可以关注：操作风格稳健的多头策略品种——中银国际中国红</w:t>
      </w:r>
      <w:r w:rsidR="00EA1509">
        <w:rPr>
          <w:rFonts w:hint="eastAsia"/>
          <w:color w:val="auto"/>
        </w:rPr>
        <w:t>1</w:t>
      </w:r>
      <w:r w:rsidR="00EA1509">
        <w:rPr>
          <w:rFonts w:hint="eastAsia"/>
          <w:color w:val="auto"/>
        </w:rPr>
        <w:t>号、</w:t>
      </w:r>
      <w:r w:rsidR="00EA1509" w:rsidRPr="00286488">
        <w:rPr>
          <w:rFonts w:hint="eastAsia"/>
          <w:color w:val="auto"/>
        </w:rPr>
        <w:t>兴业玉麒麟价值成长</w:t>
      </w:r>
      <w:r w:rsidR="00EA1509">
        <w:rPr>
          <w:rFonts w:hint="eastAsia"/>
          <w:color w:val="auto"/>
        </w:rPr>
        <w:t>；相对价值套利品种——</w:t>
      </w:r>
      <w:r w:rsidR="006F4137" w:rsidRPr="006F4137">
        <w:rPr>
          <w:rFonts w:hint="eastAsia"/>
          <w:color w:val="auto"/>
        </w:rPr>
        <w:t>华泰月月红套利</w:t>
      </w:r>
      <w:r w:rsidR="006F4137" w:rsidRPr="006F4137">
        <w:rPr>
          <w:rFonts w:hint="eastAsia"/>
          <w:color w:val="auto"/>
        </w:rPr>
        <w:t>1</w:t>
      </w:r>
      <w:r w:rsidR="006F4137" w:rsidRPr="006F4137">
        <w:rPr>
          <w:rFonts w:hint="eastAsia"/>
          <w:color w:val="auto"/>
        </w:rPr>
        <w:t>号</w:t>
      </w:r>
      <w:r w:rsidR="00EA1509">
        <w:rPr>
          <w:rFonts w:hint="eastAsia"/>
          <w:color w:val="auto"/>
        </w:rPr>
        <w:t>；系统性风险暴露程度较低的市场中性策略品种——</w:t>
      </w:r>
      <w:r w:rsidR="00EA1509" w:rsidRPr="00F81BF0">
        <w:rPr>
          <w:rFonts w:hint="eastAsia"/>
          <w:color w:val="auto"/>
        </w:rPr>
        <w:t>中国中投证券</w:t>
      </w:r>
      <w:r w:rsidR="00EA1509">
        <w:rPr>
          <w:rFonts w:hint="eastAsia"/>
          <w:color w:val="auto"/>
        </w:rPr>
        <w:t>旗下的</w:t>
      </w:r>
      <w:r w:rsidR="00EA1509" w:rsidRPr="00F81BF0">
        <w:rPr>
          <w:rFonts w:hint="eastAsia"/>
          <w:color w:val="auto"/>
        </w:rPr>
        <w:t>金中投量化套利一号</w:t>
      </w:r>
      <w:r w:rsidR="00EA1509">
        <w:rPr>
          <w:rFonts w:hint="eastAsia"/>
          <w:color w:val="auto"/>
        </w:rPr>
        <w:t>、</w:t>
      </w:r>
      <w:r w:rsidR="00EA1509" w:rsidRPr="00F81BF0">
        <w:rPr>
          <w:rFonts w:hint="eastAsia"/>
          <w:color w:val="auto"/>
        </w:rPr>
        <w:t>国泰君</w:t>
      </w:r>
      <w:proofErr w:type="gramStart"/>
      <w:r w:rsidR="00EA1509" w:rsidRPr="00F81BF0">
        <w:rPr>
          <w:rFonts w:hint="eastAsia"/>
          <w:color w:val="auto"/>
        </w:rPr>
        <w:t>安君享量化</w:t>
      </w:r>
      <w:proofErr w:type="gramEnd"/>
      <w:r w:rsidR="00EA1509">
        <w:rPr>
          <w:rFonts w:hint="eastAsia"/>
          <w:color w:val="auto"/>
        </w:rPr>
        <w:t>。在灵活选股方面，可以关注多头策略中</w:t>
      </w:r>
      <w:r w:rsidR="00EA1509" w:rsidRPr="00E30E08">
        <w:rPr>
          <w:rFonts w:hint="eastAsia"/>
          <w:color w:val="auto"/>
        </w:rPr>
        <w:t>东方证券旗下的东方红系列</w:t>
      </w:r>
      <w:r w:rsidR="00E32A24">
        <w:rPr>
          <w:rFonts w:hint="eastAsia"/>
          <w:color w:val="auto"/>
        </w:rPr>
        <w:t>产品</w:t>
      </w:r>
      <w:r w:rsidR="00EA1509" w:rsidRPr="00E30E08">
        <w:rPr>
          <w:rFonts w:hint="eastAsia"/>
          <w:color w:val="auto"/>
        </w:rPr>
        <w:t>、光大证券旗下的</w:t>
      </w:r>
      <w:r w:rsidR="00EA1509" w:rsidRPr="00514A72">
        <w:rPr>
          <w:rFonts w:hint="eastAsia"/>
          <w:color w:val="auto"/>
        </w:rPr>
        <w:t>光大集结号混合型一</w:t>
      </w:r>
      <w:r w:rsidR="00EA1509" w:rsidRPr="00321AF6">
        <w:rPr>
          <w:rFonts w:hint="eastAsia"/>
          <w:color w:val="auto"/>
        </w:rPr>
        <w:t>期等。</w:t>
      </w:r>
      <w:r w:rsidR="00EA1509">
        <w:rPr>
          <w:rFonts w:hint="eastAsia"/>
          <w:color w:val="auto"/>
        </w:rPr>
        <w:t>除此之外，尽管债券型品种投资机会相对有限，但是其风险水平相比权益类产品而言依旧较低，因此</w:t>
      </w:r>
      <w:r w:rsidR="00176350">
        <w:rPr>
          <w:rFonts w:hint="eastAsia"/>
          <w:color w:val="auto"/>
        </w:rPr>
        <w:t>也</w:t>
      </w:r>
      <w:r w:rsidR="00EA1509">
        <w:rPr>
          <w:rFonts w:hint="eastAsia"/>
          <w:color w:val="auto"/>
        </w:rPr>
        <w:t>可进行适当搭配，</w:t>
      </w:r>
      <w:r w:rsidR="00176350">
        <w:rPr>
          <w:rFonts w:hint="eastAsia"/>
          <w:color w:val="auto"/>
        </w:rPr>
        <w:t>用以</w:t>
      </w:r>
      <w:r w:rsidR="00EA1509">
        <w:rPr>
          <w:rFonts w:hint="eastAsia"/>
          <w:color w:val="auto"/>
        </w:rPr>
        <w:t>平滑组合业绩波动。</w:t>
      </w:r>
    </w:p>
    <w:p w:rsidR="00C806CE" w:rsidRPr="00EA1509" w:rsidRDefault="00C806CE" w:rsidP="00FA6F31">
      <w:pPr>
        <w:pStyle w:val="ab"/>
        <w:spacing w:after="163"/>
        <w:ind w:left="3430"/>
        <w:rPr>
          <w:color w:val="auto"/>
        </w:rPr>
      </w:pPr>
    </w:p>
    <w:p w:rsidR="00B10000" w:rsidRDefault="00B10000">
      <w:pPr>
        <w:widowControl/>
        <w:jc w:val="left"/>
        <w:rPr>
          <w:rFonts w:ascii="Arial" w:eastAsia="楷体_GB2312" w:hAnsi="Arial" w:cs="Times New Roman"/>
          <w:b/>
          <w:kern w:val="0"/>
          <w:szCs w:val="20"/>
          <w:lang w:val="en-GB"/>
        </w:rPr>
      </w:pPr>
      <w:r>
        <w:rPr>
          <w:rFonts w:ascii="Arial" w:eastAsia="楷体_GB2312" w:hAnsi="Arial"/>
          <w:b/>
          <w:kern w:val="0"/>
          <w:szCs w:val="20"/>
          <w:lang w:val="en-GB"/>
        </w:rPr>
        <w:br w:type="page"/>
      </w:r>
    </w:p>
    <w:p w:rsidR="00B10000" w:rsidRPr="00DB3C58" w:rsidRDefault="00B10000" w:rsidP="00B10000">
      <w:pPr>
        <w:pStyle w:val="aa"/>
        <w:spacing w:after="312"/>
        <w:rPr>
          <w:rFonts w:ascii="宋体" w:eastAsia="宋体" w:hAnsi="宋体"/>
          <w:b/>
          <w:sz w:val="21"/>
          <w:szCs w:val="21"/>
        </w:rPr>
      </w:pPr>
      <w:r w:rsidRPr="00DB3C58">
        <w:rPr>
          <w:rFonts w:ascii="Arial" w:eastAsia="楷体_GB2312" w:hAnsi="Arial" w:hint="eastAsia"/>
          <w:b/>
          <w:kern w:val="0"/>
          <w:sz w:val="21"/>
          <w:szCs w:val="20"/>
          <w:lang w:val="en-GB"/>
        </w:rPr>
        <w:lastRenderedPageBreak/>
        <w:t>特别声明：</w:t>
      </w:r>
    </w:p>
    <w:p w:rsidR="00B10000" w:rsidRPr="00DB3C58" w:rsidRDefault="00B10000" w:rsidP="006F4137">
      <w:pPr>
        <w:pStyle w:val="aa"/>
        <w:spacing w:beforeLines="50" w:after="312"/>
        <w:rPr>
          <w:rFonts w:ascii="Arial" w:eastAsia="楷体_GB2312" w:hAnsi="Arial"/>
          <w:kern w:val="0"/>
          <w:sz w:val="21"/>
          <w:szCs w:val="20"/>
          <w:lang w:val="en-GB"/>
        </w:rPr>
      </w:pPr>
      <w:r w:rsidRPr="00DB3C58">
        <w:rPr>
          <w:rFonts w:ascii="Arial" w:eastAsia="楷体_GB2312" w:hAnsi="Arial"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DB3C58" w:rsidRDefault="00B10000" w:rsidP="006F4137">
      <w:pPr>
        <w:pStyle w:val="aa"/>
        <w:spacing w:beforeLines="50" w:after="312"/>
        <w:rPr>
          <w:rFonts w:ascii="Arial" w:eastAsia="楷体_GB2312" w:hAnsi="Arial"/>
          <w:kern w:val="0"/>
          <w:sz w:val="21"/>
          <w:szCs w:val="20"/>
          <w:lang w:val="en-GB"/>
        </w:rPr>
      </w:pPr>
      <w:r w:rsidRPr="00DB3C58">
        <w:rPr>
          <w:rFonts w:ascii="Arial" w:eastAsia="楷体_GB2312" w:hAnsi="Arial"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DB3C58" w:rsidRDefault="00B10000" w:rsidP="006F4137">
      <w:pPr>
        <w:pStyle w:val="aa"/>
        <w:spacing w:beforeLines="50" w:after="312"/>
        <w:rPr>
          <w:rFonts w:ascii="Arial" w:eastAsia="楷体_GB2312" w:hAnsi="Arial"/>
          <w:kern w:val="0"/>
          <w:sz w:val="21"/>
          <w:szCs w:val="20"/>
          <w:lang w:val="en-GB"/>
        </w:rPr>
      </w:pPr>
      <w:r w:rsidRPr="00DB3C58">
        <w:rPr>
          <w:rFonts w:ascii="Arial" w:eastAsia="楷体_GB2312" w:hAnsi="Arial"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B10000" w:rsidRDefault="00B10000">
      <w:pPr>
        <w:rPr>
          <w:lang w:val="en-GB"/>
        </w:rPr>
      </w:pPr>
    </w:p>
    <w:sectPr w:rsidR="00B10000" w:rsidRPr="00B10000" w:rsidSect="00656031">
      <w:headerReference w:type="default" r:id="rId9"/>
      <w:footerReference w:type="default" r:id="rId10"/>
      <w:headerReference w:type="first" r:id="rId11"/>
      <w:footerReference w:type="first" r:id="rId12"/>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361" w:rsidRDefault="005B0361" w:rsidP="00B10000">
      <w:r>
        <w:separator/>
      </w:r>
    </w:p>
  </w:endnote>
  <w:endnote w:type="continuationSeparator" w:id="0">
    <w:p w:rsidR="005B0361" w:rsidRDefault="005B0361"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B81001">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B10000">
              <w:rPr>
                <w:lang w:val="zh-CN"/>
              </w:rPr>
              <w:t xml:space="preserve"> </w:t>
            </w:r>
            <w:r>
              <w:rPr>
                <w:b/>
                <w:sz w:val="24"/>
                <w:szCs w:val="24"/>
              </w:rPr>
              <w:fldChar w:fldCharType="begin"/>
            </w:r>
            <w:r w:rsidR="00B10000">
              <w:rPr>
                <w:b/>
              </w:rPr>
              <w:instrText>PAGE</w:instrText>
            </w:r>
            <w:r>
              <w:rPr>
                <w:b/>
                <w:sz w:val="24"/>
                <w:szCs w:val="24"/>
              </w:rPr>
              <w:fldChar w:fldCharType="separate"/>
            </w:r>
            <w:r w:rsidR="006F4137">
              <w:rPr>
                <w:b/>
                <w:noProof/>
              </w:rPr>
              <w:t>3</w:t>
            </w:r>
            <w:r>
              <w:rPr>
                <w:b/>
                <w:sz w:val="24"/>
                <w:szCs w:val="24"/>
              </w:rPr>
              <w:fldChar w:fldCharType="end"/>
            </w:r>
            <w:r w:rsidR="00B10000">
              <w:rPr>
                <w:lang w:val="zh-CN"/>
              </w:rPr>
              <w:t xml:space="preserve"> / </w:t>
            </w:r>
            <w:r>
              <w:rPr>
                <w:b/>
                <w:sz w:val="24"/>
                <w:szCs w:val="24"/>
              </w:rPr>
              <w:fldChar w:fldCharType="begin"/>
            </w:r>
            <w:r w:rsidR="00B10000">
              <w:rPr>
                <w:b/>
              </w:rPr>
              <w:instrText>NUMPAGES</w:instrText>
            </w:r>
            <w:r>
              <w:rPr>
                <w:b/>
                <w:sz w:val="24"/>
                <w:szCs w:val="24"/>
              </w:rPr>
              <w:fldChar w:fldCharType="separate"/>
            </w:r>
            <w:r w:rsidR="006F4137">
              <w:rPr>
                <w:b/>
                <w:noProof/>
              </w:rPr>
              <w:t>4</w:t>
            </w:r>
            <w:r>
              <w:rPr>
                <w:b/>
                <w:sz w:val="24"/>
                <w:szCs w:val="24"/>
              </w:rPr>
              <w:fldChar w:fldCharType="end"/>
            </w:r>
          </w:sdtContent>
        </w:sdt>
      </w:sdtContent>
    </w:sdt>
  </w:p>
  <w:p w:rsidR="00B10000" w:rsidRDefault="00B1000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B10000" w:rsidRDefault="00B81001">
            <w:pPr>
              <w:pStyle w:val="a4"/>
              <w:jc w:val="center"/>
            </w:pPr>
            <w:r>
              <w:pict>
                <v:rect id="_x0000_i1029" style="width:571.2pt;height:2pt" o:hralign="center" o:hrstd="t" o:hrnoshade="t" o:hr="t" fillcolor="#e7a631" stroked="f"/>
              </w:pict>
            </w:r>
            <w:r w:rsidR="00B10000">
              <w:rPr>
                <w:lang w:val="zh-CN"/>
              </w:rPr>
              <w:t xml:space="preserve"> </w:t>
            </w:r>
            <w:r>
              <w:rPr>
                <w:b/>
                <w:sz w:val="24"/>
                <w:szCs w:val="24"/>
              </w:rPr>
              <w:fldChar w:fldCharType="begin"/>
            </w:r>
            <w:r w:rsidR="00B10000">
              <w:rPr>
                <w:b/>
              </w:rPr>
              <w:instrText>PAGE</w:instrText>
            </w:r>
            <w:r>
              <w:rPr>
                <w:b/>
                <w:sz w:val="24"/>
                <w:szCs w:val="24"/>
              </w:rPr>
              <w:fldChar w:fldCharType="separate"/>
            </w:r>
            <w:r w:rsidR="006F4137">
              <w:rPr>
                <w:b/>
                <w:noProof/>
              </w:rPr>
              <w:t>1</w:t>
            </w:r>
            <w:r>
              <w:rPr>
                <w:b/>
                <w:sz w:val="24"/>
                <w:szCs w:val="24"/>
              </w:rPr>
              <w:fldChar w:fldCharType="end"/>
            </w:r>
            <w:r w:rsidR="00B10000">
              <w:rPr>
                <w:lang w:val="zh-CN"/>
              </w:rPr>
              <w:t xml:space="preserve"> / </w:t>
            </w:r>
            <w:r>
              <w:rPr>
                <w:b/>
                <w:sz w:val="24"/>
                <w:szCs w:val="24"/>
              </w:rPr>
              <w:fldChar w:fldCharType="begin"/>
            </w:r>
            <w:r w:rsidR="00B10000">
              <w:rPr>
                <w:b/>
              </w:rPr>
              <w:instrText>NUMPAGES</w:instrText>
            </w:r>
            <w:r>
              <w:rPr>
                <w:b/>
                <w:sz w:val="24"/>
                <w:szCs w:val="24"/>
              </w:rPr>
              <w:fldChar w:fldCharType="separate"/>
            </w:r>
            <w:r w:rsidR="006F4137">
              <w:rPr>
                <w:b/>
                <w:noProof/>
              </w:rPr>
              <w:t>4</w:t>
            </w:r>
            <w:r>
              <w:rPr>
                <w:b/>
                <w:sz w:val="24"/>
                <w:szCs w:val="24"/>
              </w:rPr>
              <w:fldChar w:fldCharType="end"/>
            </w:r>
          </w:p>
        </w:sdtContent>
      </w:sdt>
    </w:sdtContent>
  </w:sdt>
  <w:p w:rsidR="00B10000" w:rsidRDefault="00B1000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361" w:rsidRDefault="005B0361" w:rsidP="00B10000">
      <w:r>
        <w:separator/>
      </w:r>
    </w:p>
  </w:footnote>
  <w:footnote w:type="continuationSeparator" w:id="0">
    <w:p w:rsidR="005B0361" w:rsidRDefault="005B0361"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B81001"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B10000" w:rsidRDefault="00B81001" w:rsidP="00B10000">
                  <w:pPr>
                    <w:pStyle w:val="12"/>
                  </w:pPr>
                  <w:r w:rsidRPr="00B8100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pt;height:32.2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B10000" w:rsidRPr="006E0F3C" w:rsidRDefault="00E05F78" w:rsidP="00B10000">
                  <w:pPr>
                    <w:pStyle w:val="2"/>
                  </w:pPr>
                  <w:r w:rsidRPr="00E05F78">
                    <w:rPr>
                      <w:rFonts w:hint="eastAsia"/>
                    </w:rPr>
                    <w:t>2013年11月券商集合理财月度报告</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B81001" w:rsidP="006F4137">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B10000" w:rsidRDefault="00B81001" w:rsidP="00B10000">
                  <w:pPr>
                    <w:pStyle w:val="a6"/>
                  </w:pPr>
                  <w:r w:rsidRPr="00B8100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B10000" w:rsidRPr="006E0F3C" w:rsidRDefault="00B10000" w:rsidP="008840A4">
                  <w:pPr>
                    <w:pStyle w:val="a5"/>
                    <w:spacing w:after="240"/>
                  </w:pPr>
                  <w:proofErr w:type="gramStart"/>
                  <w:r w:rsidRPr="006E0F3C">
                    <w:rPr>
                      <w:rFonts w:hint="eastAsia"/>
                    </w:rPr>
                    <w:t>凯石工场研究</w:t>
                  </w:r>
                  <w:proofErr w:type="gramEnd"/>
                  <w:r w:rsidRPr="006E0F3C">
                    <w:rPr>
                      <w:rFonts w:hint="eastAsia"/>
                    </w:rPr>
                    <w:t>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B10000" w:rsidRPr="006E0F3C" w:rsidRDefault="00B10000" w:rsidP="00B10000">
                  <w:pPr>
                    <w:pStyle w:val="a7"/>
                    <w:jc w:val="right"/>
                  </w:pPr>
                  <w:r w:rsidRPr="006E0F3C">
                    <w:rPr>
                      <w:rFonts w:hint="eastAsia"/>
                    </w:rPr>
                    <w:t>2013年11月</w:t>
                  </w:r>
                  <w:r w:rsidR="00EA1509">
                    <w:rPr>
                      <w:rFonts w:hint="eastAsia"/>
                    </w:rPr>
                    <w:t>27</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B10000" w:rsidRDefault="00B10000" w:rsidP="00B10000">
                  <w:pPr>
                    <w:pStyle w:val="a8"/>
                    <w:jc w:val="right"/>
                  </w:pPr>
                  <w:r w:rsidRPr="006E0F3C">
                    <w:rPr>
                      <w:rFonts w:hint="eastAsia"/>
                    </w:rPr>
                    <w:t>2013年1</w:t>
                  </w:r>
                  <w:r w:rsidR="005565C8">
                    <w:rPr>
                      <w:rFonts w:hint="eastAsia"/>
                    </w:rPr>
                    <w:t>1</w:t>
                  </w:r>
                  <w:r w:rsidRPr="006E0F3C">
                    <w:rPr>
                      <w:rFonts w:hint="eastAsia"/>
                    </w:rPr>
                    <w:t>月</w:t>
                  </w:r>
                  <w:r w:rsidR="005565C8">
                    <w:rPr>
                      <w:rFonts w:hint="eastAsia"/>
                    </w:rPr>
                    <w:t>券商集合理财月度报告</w:t>
                  </w:r>
                </w:p>
                <w:p w:rsidR="00B10000" w:rsidRPr="00624366" w:rsidRDefault="00541056" w:rsidP="00B10000">
                  <w:pPr>
                    <w:pStyle w:val="a8"/>
                    <w:jc w:val="right"/>
                    <w:rPr>
                      <w:sz w:val="28"/>
                      <w:szCs w:val="28"/>
                    </w:rPr>
                  </w:pPr>
                  <w:r w:rsidRPr="00541056">
                    <w:rPr>
                      <w:rFonts w:hint="eastAsia"/>
                      <w:sz w:val="28"/>
                      <w:szCs w:val="28"/>
                    </w:rPr>
                    <w:t>稳健制胜，灵活突围</w:t>
                  </w:r>
                </w:p>
              </w:txbxContent>
            </v:textbox>
          </v:shape>
          <v:shape id="_x0000_s1030" type="#_x0000_t202" style="position:absolute;left:3246;top:2578;width:7993;height:627" strokecolor="white">
            <v:textbox style="mso-next-textbox:#_x0000_s1030">
              <w:txbxContent>
                <w:p w:rsidR="00B10000" w:rsidRPr="006E0F3C" w:rsidRDefault="00B10000" w:rsidP="00B10000">
                  <w:pPr>
                    <w:pStyle w:val="a9"/>
                  </w:pPr>
                  <w:r w:rsidRPr="006E0F3C">
                    <w:rPr>
                      <w:rFonts w:hint="eastAsia"/>
                    </w:rPr>
                    <w:t>张</w:t>
                  </w:r>
                  <w:r w:rsidR="005565C8">
                    <w:rPr>
                      <w:rFonts w:hint="eastAsia"/>
                    </w:rPr>
                    <w:t>慧</w:t>
                  </w:r>
                  <w:r w:rsidRPr="006E0F3C">
                    <w:rPr>
                      <w:rFonts w:hint="eastAsia"/>
                    </w:rPr>
                    <w:t xml:space="preserve"> </w:t>
                  </w:r>
                  <w:r w:rsidR="005565C8">
                    <w:rPr>
                      <w:rFonts w:hint="eastAsia"/>
                    </w:rPr>
                    <w:t>高级</w:t>
                  </w:r>
                  <w:r w:rsidRPr="006E0F3C">
                    <w:rPr>
                      <w:rFonts w:hint="eastAsia"/>
                    </w:rPr>
                    <w:t xml:space="preserve">分析师 </w:t>
                  </w: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000"/>
    <w:rsid w:val="00034C20"/>
    <w:rsid w:val="00084351"/>
    <w:rsid w:val="0009469B"/>
    <w:rsid w:val="000A2E8D"/>
    <w:rsid w:val="000A3994"/>
    <w:rsid w:val="000B3093"/>
    <w:rsid w:val="000E6F24"/>
    <w:rsid w:val="000E744C"/>
    <w:rsid w:val="00105C4F"/>
    <w:rsid w:val="001074ED"/>
    <w:rsid w:val="001314CF"/>
    <w:rsid w:val="00176350"/>
    <w:rsid w:val="00176EC9"/>
    <w:rsid w:val="001906B5"/>
    <w:rsid w:val="001B7EAD"/>
    <w:rsid w:val="001D0E93"/>
    <w:rsid w:val="001E1CE2"/>
    <w:rsid w:val="00211E10"/>
    <w:rsid w:val="0022164B"/>
    <w:rsid w:val="00227CD6"/>
    <w:rsid w:val="00277E79"/>
    <w:rsid w:val="00286488"/>
    <w:rsid w:val="002878EB"/>
    <w:rsid w:val="00294958"/>
    <w:rsid w:val="002B5840"/>
    <w:rsid w:val="002C087C"/>
    <w:rsid w:val="002E2B02"/>
    <w:rsid w:val="003028F7"/>
    <w:rsid w:val="00321AF6"/>
    <w:rsid w:val="0032272B"/>
    <w:rsid w:val="003574B1"/>
    <w:rsid w:val="003629A1"/>
    <w:rsid w:val="00377A58"/>
    <w:rsid w:val="003A6147"/>
    <w:rsid w:val="003C7877"/>
    <w:rsid w:val="003D2158"/>
    <w:rsid w:val="00413A81"/>
    <w:rsid w:val="0046013C"/>
    <w:rsid w:val="00473406"/>
    <w:rsid w:val="00486443"/>
    <w:rsid w:val="004A094D"/>
    <w:rsid w:val="004D22E6"/>
    <w:rsid w:val="004E5BDA"/>
    <w:rsid w:val="00503CE1"/>
    <w:rsid w:val="00514A72"/>
    <w:rsid w:val="00536CB3"/>
    <w:rsid w:val="00541056"/>
    <w:rsid w:val="005565C8"/>
    <w:rsid w:val="00561462"/>
    <w:rsid w:val="005807E3"/>
    <w:rsid w:val="00596705"/>
    <w:rsid w:val="005A787D"/>
    <w:rsid w:val="005B0361"/>
    <w:rsid w:val="005F2FD5"/>
    <w:rsid w:val="00601291"/>
    <w:rsid w:val="00623C62"/>
    <w:rsid w:val="00630812"/>
    <w:rsid w:val="00637EC3"/>
    <w:rsid w:val="00656031"/>
    <w:rsid w:val="00667FEC"/>
    <w:rsid w:val="006748EC"/>
    <w:rsid w:val="006A05A5"/>
    <w:rsid w:val="006C2AC9"/>
    <w:rsid w:val="006E5982"/>
    <w:rsid w:val="006F4137"/>
    <w:rsid w:val="00702FEC"/>
    <w:rsid w:val="0072574F"/>
    <w:rsid w:val="00731E6F"/>
    <w:rsid w:val="007329E2"/>
    <w:rsid w:val="007366CC"/>
    <w:rsid w:val="00737664"/>
    <w:rsid w:val="00742139"/>
    <w:rsid w:val="007426D9"/>
    <w:rsid w:val="007468DC"/>
    <w:rsid w:val="00757A99"/>
    <w:rsid w:val="0077153C"/>
    <w:rsid w:val="00785980"/>
    <w:rsid w:val="007B2C78"/>
    <w:rsid w:val="007C6FD5"/>
    <w:rsid w:val="0081258B"/>
    <w:rsid w:val="0081385D"/>
    <w:rsid w:val="00866C49"/>
    <w:rsid w:val="00882AD4"/>
    <w:rsid w:val="008831FE"/>
    <w:rsid w:val="008840A4"/>
    <w:rsid w:val="00884763"/>
    <w:rsid w:val="008A2FD6"/>
    <w:rsid w:val="008C4195"/>
    <w:rsid w:val="008F1BF0"/>
    <w:rsid w:val="00904239"/>
    <w:rsid w:val="00906D02"/>
    <w:rsid w:val="00907E92"/>
    <w:rsid w:val="009131D3"/>
    <w:rsid w:val="00946BA4"/>
    <w:rsid w:val="00966F72"/>
    <w:rsid w:val="009815E1"/>
    <w:rsid w:val="009F292A"/>
    <w:rsid w:val="00A174A0"/>
    <w:rsid w:val="00A36596"/>
    <w:rsid w:val="00A51A00"/>
    <w:rsid w:val="00A72B47"/>
    <w:rsid w:val="00AD54C8"/>
    <w:rsid w:val="00AE4171"/>
    <w:rsid w:val="00AF206C"/>
    <w:rsid w:val="00B10000"/>
    <w:rsid w:val="00B16B5E"/>
    <w:rsid w:val="00B25733"/>
    <w:rsid w:val="00B4668A"/>
    <w:rsid w:val="00B81001"/>
    <w:rsid w:val="00BB0E65"/>
    <w:rsid w:val="00C24D02"/>
    <w:rsid w:val="00C26C56"/>
    <w:rsid w:val="00C4118D"/>
    <w:rsid w:val="00C7559E"/>
    <w:rsid w:val="00C806CE"/>
    <w:rsid w:val="00C831E4"/>
    <w:rsid w:val="00CF178D"/>
    <w:rsid w:val="00CF3989"/>
    <w:rsid w:val="00CF6286"/>
    <w:rsid w:val="00CF7405"/>
    <w:rsid w:val="00CF7D8F"/>
    <w:rsid w:val="00D95418"/>
    <w:rsid w:val="00DB4B92"/>
    <w:rsid w:val="00DD530C"/>
    <w:rsid w:val="00DF7A65"/>
    <w:rsid w:val="00E05F78"/>
    <w:rsid w:val="00E11E99"/>
    <w:rsid w:val="00E13EE3"/>
    <w:rsid w:val="00E235DE"/>
    <w:rsid w:val="00E30E08"/>
    <w:rsid w:val="00E32A24"/>
    <w:rsid w:val="00E92830"/>
    <w:rsid w:val="00EA1509"/>
    <w:rsid w:val="00EA1B92"/>
    <w:rsid w:val="00EA5C77"/>
    <w:rsid w:val="00EB3D89"/>
    <w:rsid w:val="00EB5C87"/>
    <w:rsid w:val="00EC7266"/>
    <w:rsid w:val="00EE1D88"/>
    <w:rsid w:val="00EF1495"/>
    <w:rsid w:val="00EF2A9B"/>
    <w:rsid w:val="00F37F36"/>
    <w:rsid w:val="00F61F3B"/>
    <w:rsid w:val="00F735CC"/>
    <w:rsid w:val="00F77438"/>
    <w:rsid w:val="00F81BF0"/>
    <w:rsid w:val="00F83471"/>
    <w:rsid w:val="00F9428D"/>
    <w:rsid w:val="00FA6F31"/>
    <w:rsid w:val="00FB05DB"/>
    <w:rsid w:val="00FF66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0"/>
    <w:link w:val="ab"/>
    <w:rsid w:val="00B10000"/>
    <w:rPr>
      <w:rFonts w:ascii="Arial" w:eastAsia="楷体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character" w:styleId="ad">
    <w:name w:val="Hyperlink"/>
    <w:basedOn w:val="a0"/>
    <w:uiPriority w:val="99"/>
    <w:unhideWhenUsed/>
    <w:rsid w:val="008831FE"/>
    <w:rPr>
      <w:color w:val="0000FF" w:themeColor="hyperlink"/>
      <w:u w:val="single"/>
    </w:rPr>
  </w:style>
  <w:style w:type="character" w:styleId="ae">
    <w:name w:val="FollowedHyperlink"/>
    <w:basedOn w:val="a0"/>
    <w:uiPriority w:val="99"/>
    <w:semiHidden/>
    <w:unhideWhenUsed/>
    <w:rsid w:val="0029495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05F1D-3410-48F4-A5A7-9158C212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4</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shanghai vstone</dc:creator>
  <cp:lastModifiedBy>admin</cp:lastModifiedBy>
  <cp:revision>222</cp:revision>
  <dcterms:created xsi:type="dcterms:W3CDTF">2013-11-25T05:36:00Z</dcterms:created>
  <dcterms:modified xsi:type="dcterms:W3CDTF">2013-11-27T07:44:00Z</dcterms:modified>
</cp:coreProperties>
</file>