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body>
    <w:p w:rsidR="00914540" w:rsidRDefault="00DC169A">
      <w:r>
        <w:rPr>
          <w:noProof/>
        </w:rPr>
        <w:pict>
          <v:shapetype id="_x0000_t202" coordsize="21600,21600" o:spt="202" path="m,l,21600r21600,l21600,xe">
            <v:stroke joinstyle="miter"/>
            <v:path gradientshapeok="t" o:connecttype="rect"/>
          </v:shapetype>
          <v:shape id="_x0000_s1032" type="#_x0000_t202" style="position:absolute;left:0;text-align:left;margin-left:-1in;margin-top:6.9pt;width:3in;height:35.85pt;z-index:251657216" filled="f" stroked="f">
            <v:textbox style="mso-next-textbox:#_x0000_s1032">
              <w:txbxContent>
                <w:p w:rsidR="006606DF" w:rsidRPr="00547AE1" w:rsidRDefault="006606DF">
                  <w:pPr>
                    <w:rPr>
                      <w:color w:val="FFFFFF"/>
                      <w:sz w:val="36"/>
                      <w:szCs w:val="36"/>
                    </w:rPr>
                  </w:pPr>
                  <w:r>
                    <w:rPr>
                      <w:rFonts w:ascii="黑体" w:eastAsia="黑体" w:hAnsi="黑体" w:hint="eastAsia"/>
                      <w:bCs/>
                      <w:color w:val="FFFFFF"/>
                      <w:sz w:val="36"/>
                      <w:szCs w:val="36"/>
                    </w:rPr>
                    <w:t>济安金信</w:t>
                  </w:r>
                  <w:r w:rsidR="006F0BD6">
                    <w:rPr>
                      <w:rFonts w:ascii="黑体" w:eastAsia="黑体" w:hAnsi="黑体" w:hint="eastAsia"/>
                      <w:bCs/>
                      <w:color w:val="FFFFFF"/>
                      <w:sz w:val="36"/>
                      <w:szCs w:val="36"/>
                    </w:rPr>
                    <w:t>封闭式</w:t>
                  </w:r>
                  <w:r>
                    <w:rPr>
                      <w:rFonts w:ascii="黑体" w:eastAsia="黑体" w:hAnsi="黑体" w:hint="eastAsia"/>
                      <w:bCs/>
                      <w:color w:val="FFFFFF"/>
                      <w:sz w:val="36"/>
                      <w:szCs w:val="36"/>
                    </w:rPr>
                    <w:t>基金周报</w:t>
                  </w:r>
                </w:p>
              </w:txbxContent>
            </v:textbox>
          </v:shape>
        </w:pict>
      </w:r>
      <w:r>
        <w:rPr>
          <w:noProof/>
        </w:rPr>
        <w:pict>
          <v:shape id="_x0000_s1035" type="#_x0000_t202" style="position:absolute;left:0;text-align:left;margin-left:-1in;margin-top:57.6pt;width:153pt;height:23.4pt;z-index:251659264" filled="f" stroked="f">
            <v:textbox style="mso-next-textbox:#_x0000_s1035">
              <w:txbxContent>
                <w:p w:rsidR="006606DF" w:rsidRPr="008036A3" w:rsidRDefault="006606DF">
                  <w:pPr>
                    <w:rPr>
                      <w:color w:val="FFFFFF"/>
                      <w:sz w:val="18"/>
                      <w:szCs w:val="18"/>
                    </w:rPr>
                  </w:pPr>
                  <w:r>
                    <w:rPr>
                      <w:rFonts w:hint="eastAsia"/>
                      <w:color w:val="FFFFFF"/>
                      <w:sz w:val="18"/>
                      <w:szCs w:val="18"/>
                    </w:rPr>
                    <w:t>201</w:t>
                  </w:r>
                  <w:r w:rsidR="00B74D2D">
                    <w:rPr>
                      <w:rFonts w:hint="eastAsia"/>
                      <w:color w:val="FFFFFF"/>
                      <w:sz w:val="18"/>
                      <w:szCs w:val="18"/>
                    </w:rPr>
                    <w:t>2</w:t>
                  </w:r>
                  <w:r>
                    <w:rPr>
                      <w:rFonts w:hint="eastAsia"/>
                      <w:color w:val="FFFFFF"/>
                      <w:sz w:val="18"/>
                      <w:szCs w:val="18"/>
                    </w:rPr>
                    <w:t>年</w:t>
                  </w:r>
                  <w:r w:rsidR="00E468A3">
                    <w:rPr>
                      <w:rFonts w:hint="eastAsia"/>
                      <w:color w:val="FFFFFF"/>
                      <w:sz w:val="18"/>
                      <w:szCs w:val="18"/>
                    </w:rPr>
                    <w:t>1</w:t>
                  </w:r>
                  <w:r w:rsidR="00EF1389">
                    <w:rPr>
                      <w:rFonts w:hint="eastAsia"/>
                      <w:color w:val="FFFFFF"/>
                      <w:sz w:val="18"/>
                      <w:szCs w:val="18"/>
                    </w:rPr>
                    <w:t>2</w:t>
                  </w:r>
                  <w:r>
                    <w:rPr>
                      <w:rFonts w:hint="eastAsia"/>
                      <w:color w:val="FFFFFF"/>
                      <w:sz w:val="18"/>
                      <w:szCs w:val="18"/>
                    </w:rPr>
                    <w:t>月</w:t>
                  </w:r>
                  <w:r w:rsidR="00EF1389">
                    <w:rPr>
                      <w:rFonts w:hint="eastAsia"/>
                      <w:color w:val="FFFFFF"/>
                      <w:sz w:val="18"/>
                      <w:szCs w:val="18"/>
                    </w:rPr>
                    <w:t>07</w:t>
                  </w:r>
                  <w:r>
                    <w:rPr>
                      <w:rFonts w:hint="eastAsia"/>
                      <w:color w:val="FFFFFF"/>
                      <w:sz w:val="18"/>
                      <w:szCs w:val="18"/>
                    </w:rPr>
                    <w:t>日星期五</w:t>
                  </w:r>
                </w:p>
              </w:txbxContent>
            </v:textbox>
          </v:shape>
        </w:pict>
      </w:r>
      <w:r>
        <w:rPr>
          <w:noProof/>
        </w:rPr>
        <w:pict>
          <v:shape id="_x0000_s1038" type="#_x0000_t202" style="position:absolute;left:0;text-align:left;margin-left:-89.85pt;margin-top:55.95pt;width:603pt;height:23.4pt;z-index:251658240" fillcolor="#0a71a8" stroked="f">
            <v:fill rotate="t" angle="-90" focus="100%" type="gradient"/>
            <v:textbox style="mso-next-textbox:#_x0000_s1038">
              <w:txbxContent>
                <w:p w:rsidR="006606DF" w:rsidRDefault="006606DF"/>
              </w:txbxContent>
            </v:textbox>
          </v:shape>
        </w:pict>
      </w:r>
      <w:r>
        <w:rPr>
          <w:noProof/>
        </w:rPr>
        <w:pict>
          <v:shape id="_x0000_s1028" type="#_x0000_t202" style="position:absolute;left:0;text-align:left;margin-left:-89.85pt;margin-top:10.8pt;width:612pt;height:31.95pt;z-index:251656192" fillcolor="#0a71a8" stroked="f" strokecolor="blue" strokeweight="0">
            <v:textbox style="mso-next-textbox:#_x0000_s1028">
              <w:txbxContent>
                <w:p w:rsidR="006606DF" w:rsidRPr="00547AE1" w:rsidRDefault="006606DF" w:rsidP="00547AE1"/>
              </w:txbxContent>
            </v:textbox>
          </v:shape>
        </w:pict>
      </w:r>
    </w:p>
    <w:p w:rsidR="00914540" w:rsidRPr="00914540" w:rsidRDefault="00914540" w:rsidP="00914540"/>
    <w:p w:rsidR="00914540" w:rsidRPr="00914540" w:rsidRDefault="00914540" w:rsidP="00914540"/>
    <w:p w:rsidR="00914540" w:rsidRPr="00914540" w:rsidRDefault="00914540" w:rsidP="00914540"/>
    <w:p w:rsidR="00F060F6" w:rsidRPr="005C566F" w:rsidRDefault="00F060F6" w:rsidP="009E77A8">
      <w:pPr>
        <w:spacing w:beforeLines="50" w:afterLines="50" w:line="360" w:lineRule="exact"/>
        <w:outlineLvl w:val="0"/>
        <w:rPr>
          <w:b/>
          <w:sz w:val="32"/>
          <w:szCs w:val="32"/>
        </w:rPr>
      </w:pPr>
    </w:p>
    <w:p w:rsidR="00F060F6" w:rsidRPr="00267B9A" w:rsidRDefault="006F0BD6" w:rsidP="009E77A8">
      <w:pPr>
        <w:spacing w:beforeLines="50" w:afterLines="50" w:line="360" w:lineRule="exact"/>
        <w:jc w:val="center"/>
        <w:outlineLvl w:val="0"/>
        <w:rPr>
          <w:rFonts w:ascii="宋体" w:hAnsi="宋体"/>
          <w:b/>
          <w:sz w:val="32"/>
          <w:szCs w:val="32"/>
        </w:rPr>
      </w:pPr>
      <w:r w:rsidRPr="00267B9A">
        <w:rPr>
          <w:rFonts w:ascii="宋体" w:hAnsi="宋体" w:hint="eastAsia"/>
          <w:b/>
          <w:sz w:val="32"/>
          <w:szCs w:val="32"/>
        </w:rPr>
        <w:t>济安封闭式基金周报</w:t>
      </w:r>
      <w:r w:rsidRPr="00C73773">
        <w:rPr>
          <w:rFonts w:hAnsi="宋体"/>
          <w:b/>
          <w:sz w:val="32"/>
          <w:szCs w:val="32"/>
        </w:rPr>
        <w:t>（</w:t>
      </w:r>
      <w:r w:rsidR="00A75013">
        <w:rPr>
          <w:rFonts w:hAnsi="宋体" w:hint="eastAsia"/>
          <w:b/>
          <w:sz w:val="32"/>
          <w:szCs w:val="32"/>
        </w:rPr>
        <w:t>1</w:t>
      </w:r>
      <w:r w:rsidR="00EF1389">
        <w:rPr>
          <w:rFonts w:hAnsi="宋体" w:hint="eastAsia"/>
          <w:b/>
          <w:sz w:val="32"/>
          <w:szCs w:val="32"/>
        </w:rPr>
        <w:t>2</w:t>
      </w:r>
      <w:r w:rsidR="00E468A3">
        <w:rPr>
          <w:rFonts w:hAnsi="宋体" w:hint="eastAsia"/>
          <w:b/>
          <w:sz w:val="32"/>
          <w:szCs w:val="32"/>
        </w:rPr>
        <w:t>.</w:t>
      </w:r>
      <w:r w:rsidR="00EF1389">
        <w:rPr>
          <w:rFonts w:hAnsi="宋体" w:hint="eastAsia"/>
          <w:b/>
          <w:sz w:val="32"/>
          <w:szCs w:val="32"/>
        </w:rPr>
        <w:t>03</w:t>
      </w:r>
      <w:r w:rsidRPr="00C73773">
        <w:rPr>
          <w:b/>
          <w:sz w:val="32"/>
          <w:szCs w:val="32"/>
        </w:rPr>
        <w:t>—</w:t>
      </w:r>
      <w:r w:rsidR="00E468A3">
        <w:rPr>
          <w:rFonts w:hint="eastAsia"/>
          <w:b/>
          <w:sz w:val="32"/>
          <w:szCs w:val="32"/>
        </w:rPr>
        <w:t>1</w:t>
      </w:r>
      <w:r w:rsidR="00EF1389">
        <w:rPr>
          <w:rFonts w:hint="eastAsia"/>
          <w:b/>
          <w:sz w:val="32"/>
          <w:szCs w:val="32"/>
        </w:rPr>
        <w:t>2</w:t>
      </w:r>
      <w:r w:rsidR="00E468A3">
        <w:rPr>
          <w:rFonts w:hint="eastAsia"/>
          <w:b/>
          <w:sz w:val="32"/>
          <w:szCs w:val="32"/>
        </w:rPr>
        <w:t>.</w:t>
      </w:r>
      <w:r w:rsidR="00EF1389">
        <w:rPr>
          <w:rFonts w:hint="eastAsia"/>
          <w:b/>
          <w:sz w:val="32"/>
          <w:szCs w:val="32"/>
        </w:rPr>
        <w:t>07</w:t>
      </w:r>
      <w:r w:rsidRPr="00C73773">
        <w:rPr>
          <w:rFonts w:hAnsi="宋体"/>
          <w:b/>
          <w:sz w:val="32"/>
          <w:szCs w:val="32"/>
        </w:rPr>
        <w:t>）</w:t>
      </w:r>
    </w:p>
    <w:p w:rsidR="00F060F6" w:rsidRPr="007E168D" w:rsidRDefault="00F060F6" w:rsidP="009E77A8">
      <w:pPr>
        <w:spacing w:beforeLines="50" w:afterLines="50" w:line="360" w:lineRule="exact"/>
        <w:outlineLvl w:val="0"/>
        <w:rPr>
          <w:b/>
          <w:sz w:val="24"/>
        </w:rPr>
      </w:pPr>
    </w:p>
    <w:p w:rsidR="001941E4" w:rsidRPr="009E77A8" w:rsidRDefault="00EA77CE" w:rsidP="009E77A8">
      <w:pPr>
        <w:ind w:firstLine="405"/>
        <w:rPr>
          <w:rFonts w:ascii="宋体" w:hAnsi="宋体"/>
          <w:szCs w:val="21"/>
        </w:rPr>
      </w:pPr>
      <w:r w:rsidRPr="001941E4">
        <w:rPr>
          <w:rFonts w:ascii="宋体" w:hAnsi="宋体" w:hint="eastAsia"/>
          <w:szCs w:val="21"/>
        </w:rPr>
        <w:t>本周股市震荡上行，受中央政治局会议及其他利好消息影响，周三（</w:t>
      </w:r>
      <w:r w:rsidRPr="001941E4">
        <w:rPr>
          <w:rFonts w:ascii="宋体" w:hAnsi="宋体"/>
          <w:szCs w:val="21"/>
        </w:rPr>
        <w:t>12</w:t>
      </w:r>
      <w:r w:rsidRPr="001941E4">
        <w:rPr>
          <w:rFonts w:ascii="宋体" w:hAnsi="宋体" w:hint="eastAsia"/>
          <w:szCs w:val="21"/>
        </w:rPr>
        <w:t>月</w:t>
      </w:r>
      <w:r w:rsidRPr="001941E4">
        <w:rPr>
          <w:rFonts w:ascii="宋体" w:hAnsi="宋体"/>
          <w:szCs w:val="21"/>
        </w:rPr>
        <w:t>5</w:t>
      </w:r>
      <w:r w:rsidRPr="001941E4">
        <w:rPr>
          <w:rFonts w:ascii="宋体" w:hAnsi="宋体" w:hint="eastAsia"/>
          <w:szCs w:val="21"/>
        </w:rPr>
        <w:t>日）市场出现报复性反弹，全天沪指大涨</w:t>
      </w:r>
      <w:r w:rsidRPr="001941E4">
        <w:rPr>
          <w:rFonts w:ascii="宋体" w:hAnsi="宋体"/>
          <w:szCs w:val="21"/>
        </w:rPr>
        <w:t>2.87%</w:t>
      </w:r>
      <w:r w:rsidRPr="001941E4">
        <w:rPr>
          <w:rFonts w:ascii="宋体" w:hAnsi="宋体" w:hint="eastAsia"/>
          <w:szCs w:val="21"/>
        </w:rPr>
        <w:t>，周四略微调整后，周五继续放量增长</w:t>
      </w:r>
      <w:r w:rsidRPr="001941E4">
        <w:rPr>
          <w:rFonts w:ascii="宋体" w:hAnsi="宋体"/>
          <w:szCs w:val="21"/>
        </w:rPr>
        <w:t>1.6%</w:t>
      </w:r>
      <w:r w:rsidRPr="001941E4">
        <w:rPr>
          <w:rFonts w:ascii="宋体" w:hAnsi="宋体" w:hint="eastAsia"/>
          <w:szCs w:val="21"/>
        </w:rPr>
        <w:t>。</w:t>
      </w:r>
      <w:proofErr w:type="gramStart"/>
      <w:r w:rsidRPr="001941E4">
        <w:rPr>
          <w:rFonts w:ascii="宋体" w:hAnsi="宋体" w:hint="eastAsia"/>
          <w:szCs w:val="21"/>
        </w:rPr>
        <w:t>除企债指数</w:t>
      </w:r>
      <w:proofErr w:type="gramEnd"/>
      <w:r w:rsidRPr="001941E4">
        <w:rPr>
          <w:rFonts w:ascii="宋体" w:hAnsi="宋体" w:hint="eastAsia"/>
          <w:szCs w:val="21"/>
        </w:rPr>
        <w:t>外基本指数全线飘红。上证指数收于</w:t>
      </w:r>
      <w:r w:rsidRPr="001941E4">
        <w:rPr>
          <w:rFonts w:ascii="宋体" w:hAnsi="宋体"/>
          <w:szCs w:val="21"/>
        </w:rPr>
        <w:t>2061.79</w:t>
      </w:r>
      <w:r w:rsidRPr="001941E4">
        <w:rPr>
          <w:rFonts w:ascii="宋体" w:hAnsi="宋体" w:hint="eastAsia"/>
          <w:szCs w:val="21"/>
        </w:rPr>
        <w:t>点，上涨</w:t>
      </w:r>
      <w:r w:rsidRPr="001941E4">
        <w:rPr>
          <w:rFonts w:ascii="宋体" w:hAnsi="宋体"/>
          <w:szCs w:val="21"/>
        </w:rPr>
        <w:t>4.12%</w:t>
      </w:r>
      <w:r w:rsidRPr="001941E4">
        <w:rPr>
          <w:rFonts w:ascii="宋体" w:hAnsi="宋体" w:hint="eastAsia"/>
          <w:szCs w:val="21"/>
        </w:rPr>
        <w:t>，深证成指收于</w:t>
      </w:r>
      <w:r w:rsidRPr="001941E4">
        <w:rPr>
          <w:rFonts w:ascii="宋体" w:hAnsi="宋体"/>
          <w:szCs w:val="21"/>
        </w:rPr>
        <w:t>8189.68</w:t>
      </w:r>
      <w:r w:rsidRPr="001941E4">
        <w:rPr>
          <w:rFonts w:ascii="宋体" w:hAnsi="宋体" w:hint="eastAsia"/>
          <w:szCs w:val="21"/>
        </w:rPr>
        <w:t>点，上涨</w:t>
      </w:r>
      <w:r w:rsidRPr="001941E4">
        <w:rPr>
          <w:rFonts w:ascii="宋体" w:hAnsi="宋体"/>
          <w:szCs w:val="21"/>
        </w:rPr>
        <w:t>3.62%</w:t>
      </w:r>
      <w:r w:rsidRPr="001941E4">
        <w:rPr>
          <w:rFonts w:ascii="宋体" w:hAnsi="宋体" w:hint="eastAsia"/>
          <w:szCs w:val="21"/>
        </w:rPr>
        <w:t>。国债指数收于</w:t>
      </w:r>
      <w:r w:rsidRPr="001941E4">
        <w:rPr>
          <w:rFonts w:ascii="宋体" w:hAnsi="宋体"/>
          <w:szCs w:val="21"/>
        </w:rPr>
        <w:t>135.56</w:t>
      </w:r>
      <w:r w:rsidRPr="001941E4">
        <w:rPr>
          <w:rFonts w:ascii="宋体" w:hAnsi="宋体" w:hint="eastAsia"/>
          <w:szCs w:val="21"/>
        </w:rPr>
        <w:t>点，上涨</w:t>
      </w:r>
      <w:r w:rsidRPr="001941E4">
        <w:rPr>
          <w:rFonts w:ascii="宋体" w:hAnsi="宋体"/>
          <w:szCs w:val="21"/>
        </w:rPr>
        <w:t>0.06%</w:t>
      </w:r>
      <w:r w:rsidRPr="001941E4">
        <w:rPr>
          <w:rFonts w:ascii="宋体" w:hAnsi="宋体" w:hint="eastAsia"/>
          <w:szCs w:val="21"/>
        </w:rPr>
        <w:t>，企</w:t>
      </w:r>
      <w:proofErr w:type="gramStart"/>
      <w:r w:rsidRPr="001941E4">
        <w:rPr>
          <w:rFonts w:ascii="宋体" w:hAnsi="宋体" w:hint="eastAsia"/>
          <w:szCs w:val="21"/>
        </w:rPr>
        <w:t>债指数</w:t>
      </w:r>
      <w:proofErr w:type="gramEnd"/>
      <w:r w:rsidRPr="001941E4">
        <w:rPr>
          <w:rFonts w:ascii="宋体" w:hAnsi="宋体" w:hint="eastAsia"/>
          <w:szCs w:val="21"/>
        </w:rPr>
        <w:t>收于</w:t>
      </w:r>
      <w:r w:rsidRPr="001941E4">
        <w:rPr>
          <w:rFonts w:ascii="宋体" w:hAnsi="宋体"/>
          <w:szCs w:val="21"/>
        </w:rPr>
        <w:t>127.38</w:t>
      </w:r>
      <w:r w:rsidRPr="001941E4">
        <w:rPr>
          <w:rFonts w:ascii="宋体" w:hAnsi="宋体" w:hint="eastAsia"/>
          <w:szCs w:val="21"/>
        </w:rPr>
        <w:t>点，下跌</w:t>
      </w:r>
      <w:r w:rsidRPr="001941E4">
        <w:rPr>
          <w:rFonts w:ascii="宋体" w:hAnsi="宋体"/>
          <w:szCs w:val="21"/>
        </w:rPr>
        <w:t>0.06%</w:t>
      </w:r>
      <w:r w:rsidRPr="001941E4">
        <w:rPr>
          <w:rFonts w:ascii="宋体" w:hAnsi="宋体" w:hint="eastAsia"/>
          <w:szCs w:val="21"/>
        </w:rPr>
        <w:t>。从具有代表性的沪深</w:t>
      </w:r>
      <w:r w:rsidRPr="001941E4">
        <w:rPr>
          <w:rFonts w:ascii="宋体" w:hAnsi="宋体"/>
          <w:szCs w:val="21"/>
        </w:rPr>
        <w:t>300</w:t>
      </w:r>
      <w:r w:rsidRPr="001941E4">
        <w:rPr>
          <w:rFonts w:ascii="宋体" w:hAnsi="宋体" w:hint="eastAsia"/>
          <w:szCs w:val="21"/>
        </w:rPr>
        <w:t>指数和中证</w:t>
      </w:r>
      <w:r w:rsidRPr="001941E4">
        <w:rPr>
          <w:rFonts w:ascii="宋体" w:hAnsi="宋体"/>
          <w:szCs w:val="21"/>
        </w:rPr>
        <w:t>500</w:t>
      </w:r>
      <w:r w:rsidRPr="001941E4">
        <w:rPr>
          <w:rFonts w:ascii="宋体" w:hAnsi="宋体" w:hint="eastAsia"/>
          <w:szCs w:val="21"/>
        </w:rPr>
        <w:t>指数的表现来看，大市值板块</w:t>
      </w:r>
      <w:proofErr w:type="gramStart"/>
      <w:r w:rsidRPr="001941E4">
        <w:rPr>
          <w:rFonts w:ascii="宋体" w:hAnsi="宋体" w:hint="eastAsia"/>
          <w:szCs w:val="21"/>
        </w:rPr>
        <w:t>个</w:t>
      </w:r>
      <w:proofErr w:type="gramEnd"/>
      <w:r w:rsidRPr="001941E4">
        <w:rPr>
          <w:rFonts w:ascii="宋体" w:hAnsi="宋体" w:hint="eastAsia"/>
          <w:szCs w:val="21"/>
        </w:rPr>
        <w:t>股本</w:t>
      </w:r>
      <w:proofErr w:type="gramStart"/>
      <w:r w:rsidRPr="001941E4">
        <w:rPr>
          <w:rFonts w:ascii="宋体" w:hAnsi="宋体" w:hint="eastAsia"/>
          <w:szCs w:val="21"/>
        </w:rPr>
        <w:t>周整体</w:t>
      </w:r>
      <w:proofErr w:type="gramEnd"/>
      <w:r w:rsidRPr="001941E4">
        <w:rPr>
          <w:rFonts w:ascii="宋体" w:hAnsi="宋体" w:hint="eastAsia"/>
          <w:szCs w:val="21"/>
        </w:rPr>
        <w:t>表现略好于中小板行业</w:t>
      </w:r>
      <w:proofErr w:type="gramStart"/>
      <w:r w:rsidRPr="001941E4">
        <w:rPr>
          <w:rFonts w:ascii="宋体" w:hAnsi="宋体" w:hint="eastAsia"/>
          <w:szCs w:val="21"/>
        </w:rPr>
        <w:t>个</w:t>
      </w:r>
      <w:proofErr w:type="gramEnd"/>
      <w:r w:rsidRPr="001941E4">
        <w:rPr>
          <w:rFonts w:ascii="宋体" w:hAnsi="宋体" w:hint="eastAsia"/>
          <w:szCs w:val="21"/>
        </w:rPr>
        <w:t>股本周行情表现，沪深</w:t>
      </w:r>
      <w:r w:rsidRPr="001941E4">
        <w:rPr>
          <w:rFonts w:ascii="宋体" w:hAnsi="宋体"/>
          <w:szCs w:val="21"/>
        </w:rPr>
        <w:t>300</w:t>
      </w:r>
      <w:r w:rsidRPr="001941E4">
        <w:rPr>
          <w:rFonts w:ascii="宋体" w:hAnsi="宋体" w:hint="eastAsia"/>
          <w:szCs w:val="21"/>
        </w:rPr>
        <w:t>涨幅为</w:t>
      </w:r>
      <w:r w:rsidRPr="001941E4">
        <w:rPr>
          <w:rFonts w:ascii="宋体" w:hAnsi="宋体"/>
          <w:szCs w:val="21"/>
        </w:rPr>
        <w:t>5.01%</w:t>
      </w:r>
      <w:r w:rsidRPr="001941E4">
        <w:rPr>
          <w:rFonts w:ascii="宋体" w:hAnsi="宋体" w:hint="eastAsia"/>
          <w:szCs w:val="21"/>
        </w:rPr>
        <w:t>而中证</w:t>
      </w:r>
      <w:r w:rsidRPr="001941E4">
        <w:rPr>
          <w:rFonts w:ascii="宋体" w:hAnsi="宋体"/>
          <w:szCs w:val="21"/>
        </w:rPr>
        <w:t>500</w:t>
      </w:r>
      <w:r w:rsidRPr="001941E4">
        <w:rPr>
          <w:rFonts w:ascii="宋体" w:hAnsi="宋体" w:hint="eastAsia"/>
          <w:szCs w:val="21"/>
        </w:rPr>
        <w:t>指数上涨幅为</w:t>
      </w:r>
      <w:r w:rsidRPr="001941E4">
        <w:rPr>
          <w:rFonts w:ascii="宋体" w:hAnsi="宋体"/>
          <w:szCs w:val="21"/>
        </w:rPr>
        <w:t>4.74%</w:t>
      </w:r>
      <w:r w:rsidRPr="001941E4">
        <w:rPr>
          <w:rFonts w:ascii="宋体" w:hAnsi="宋体" w:hint="eastAsia"/>
          <w:szCs w:val="21"/>
        </w:rPr>
        <w:t>。代表成长型走向较为突出的深</w:t>
      </w:r>
      <w:proofErr w:type="gramStart"/>
      <w:r w:rsidRPr="001941E4">
        <w:rPr>
          <w:rFonts w:ascii="宋体" w:hAnsi="宋体" w:hint="eastAsia"/>
          <w:szCs w:val="21"/>
        </w:rPr>
        <w:t>证成长</w:t>
      </w:r>
      <w:proofErr w:type="gramEnd"/>
      <w:r w:rsidRPr="001941E4">
        <w:rPr>
          <w:rFonts w:ascii="宋体" w:hAnsi="宋体"/>
          <w:szCs w:val="21"/>
        </w:rPr>
        <w:t>40</w:t>
      </w:r>
      <w:r w:rsidRPr="001941E4">
        <w:rPr>
          <w:rFonts w:ascii="宋体" w:hAnsi="宋体" w:hint="eastAsia"/>
          <w:szCs w:val="21"/>
        </w:rPr>
        <w:t>指数上涨</w:t>
      </w:r>
      <w:r w:rsidRPr="001941E4">
        <w:rPr>
          <w:rFonts w:ascii="宋体" w:hAnsi="宋体"/>
          <w:szCs w:val="21"/>
        </w:rPr>
        <w:t>15.87%</w:t>
      </w:r>
      <w:r w:rsidRPr="001941E4">
        <w:rPr>
          <w:rFonts w:ascii="宋体" w:hAnsi="宋体" w:hint="eastAsia"/>
          <w:szCs w:val="21"/>
        </w:rPr>
        <w:t>，代表价值型走向的基本面</w:t>
      </w:r>
      <w:r w:rsidRPr="001941E4">
        <w:rPr>
          <w:rFonts w:ascii="宋体" w:hAnsi="宋体"/>
          <w:szCs w:val="21"/>
        </w:rPr>
        <w:t>50</w:t>
      </w:r>
      <w:r w:rsidRPr="001941E4">
        <w:rPr>
          <w:rFonts w:ascii="宋体" w:hAnsi="宋体" w:hint="eastAsia"/>
          <w:szCs w:val="21"/>
        </w:rPr>
        <w:t>上涨</w:t>
      </w:r>
      <w:r w:rsidRPr="001941E4">
        <w:rPr>
          <w:rFonts w:ascii="宋体" w:hAnsi="宋体"/>
          <w:szCs w:val="21"/>
        </w:rPr>
        <w:t>5.86%</w:t>
      </w:r>
      <w:r w:rsidRPr="001941E4">
        <w:rPr>
          <w:rFonts w:ascii="宋体" w:hAnsi="宋体" w:hint="eastAsia"/>
          <w:szCs w:val="21"/>
        </w:rPr>
        <w:t>，具有成长性的个股表现明显好于价值风格走向的个股表现。</w:t>
      </w:r>
      <w:r w:rsidR="009E77A8" w:rsidRPr="00380B80">
        <w:rPr>
          <w:rFonts w:asciiTheme="minorEastAsia" w:eastAsiaTheme="minorEastAsia" w:hAnsiTheme="minorEastAsia" w:hint="eastAsia"/>
          <w:szCs w:val="21"/>
        </w:rPr>
        <w:t>从具体行业来看，21个证监会行业分类中</w:t>
      </w:r>
      <w:r w:rsidR="009E77A8" w:rsidRPr="00380B80">
        <w:rPr>
          <w:rFonts w:ascii="宋体" w:hAnsi="宋体" w:hint="eastAsia"/>
          <w:szCs w:val="21"/>
        </w:rPr>
        <w:t>所有</w:t>
      </w:r>
      <w:r w:rsidR="009E77A8" w:rsidRPr="00380B80">
        <w:rPr>
          <w:rFonts w:asciiTheme="minorEastAsia" w:eastAsiaTheme="minorEastAsia" w:hAnsiTheme="minorEastAsia" w:hint="eastAsia"/>
          <w:szCs w:val="21"/>
        </w:rPr>
        <w:t>行业</w:t>
      </w:r>
      <w:r w:rsidR="009E77A8">
        <w:rPr>
          <w:rFonts w:asciiTheme="minorEastAsia" w:eastAsiaTheme="minorEastAsia" w:hAnsiTheme="minorEastAsia" w:hint="eastAsia"/>
          <w:szCs w:val="21"/>
        </w:rPr>
        <w:t>除食品行业外</w:t>
      </w:r>
      <w:r w:rsidR="009E77A8" w:rsidRPr="00380B80">
        <w:rPr>
          <w:rFonts w:asciiTheme="minorEastAsia" w:eastAsiaTheme="minorEastAsia" w:hAnsiTheme="minorEastAsia" w:hint="eastAsia"/>
          <w:szCs w:val="21"/>
        </w:rPr>
        <w:t>全线</w:t>
      </w:r>
      <w:r w:rsidR="009E77A8">
        <w:rPr>
          <w:rFonts w:asciiTheme="minorEastAsia" w:eastAsiaTheme="minorEastAsia" w:hAnsiTheme="minorEastAsia" w:hint="eastAsia"/>
          <w:szCs w:val="21"/>
        </w:rPr>
        <w:t>飘红</w:t>
      </w:r>
      <w:r w:rsidR="009E77A8" w:rsidRPr="00380B80">
        <w:rPr>
          <w:rFonts w:asciiTheme="minorEastAsia" w:eastAsiaTheme="minorEastAsia" w:hAnsiTheme="minorEastAsia" w:hint="eastAsia"/>
          <w:szCs w:val="21"/>
        </w:rPr>
        <w:t>，其中，</w:t>
      </w:r>
      <w:r w:rsidR="009E77A8">
        <w:rPr>
          <w:rFonts w:asciiTheme="minorEastAsia" w:eastAsiaTheme="minorEastAsia" w:hAnsiTheme="minorEastAsia" w:hint="eastAsia"/>
          <w:szCs w:val="21"/>
        </w:rPr>
        <w:t>木材</w:t>
      </w:r>
      <w:r w:rsidR="009E77A8" w:rsidRPr="00380B80">
        <w:rPr>
          <w:rFonts w:asciiTheme="minorEastAsia" w:eastAsiaTheme="minorEastAsia" w:hAnsiTheme="minorEastAsia" w:hint="eastAsia"/>
          <w:szCs w:val="21"/>
        </w:rPr>
        <w:t>、</w:t>
      </w:r>
      <w:r w:rsidR="009E77A8">
        <w:rPr>
          <w:rFonts w:asciiTheme="minorEastAsia" w:eastAsiaTheme="minorEastAsia" w:hAnsiTheme="minorEastAsia" w:hint="eastAsia"/>
          <w:szCs w:val="21"/>
        </w:rPr>
        <w:t>金融</w:t>
      </w:r>
      <w:r w:rsidR="009E77A8" w:rsidRPr="00380B80">
        <w:rPr>
          <w:rFonts w:asciiTheme="minorEastAsia" w:eastAsiaTheme="minorEastAsia" w:hAnsiTheme="minorEastAsia" w:hint="eastAsia"/>
          <w:szCs w:val="21"/>
        </w:rPr>
        <w:t>、</w:t>
      </w:r>
      <w:r w:rsidR="009E77A8">
        <w:rPr>
          <w:rFonts w:asciiTheme="minorEastAsia" w:eastAsiaTheme="minorEastAsia" w:hAnsiTheme="minorEastAsia" w:hint="eastAsia"/>
          <w:szCs w:val="21"/>
        </w:rPr>
        <w:t>建筑</w:t>
      </w:r>
      <w:r w:rsidR="009E77A8" w:rsidRPr="00380B80">
        <w:rPr>
          <w:rFonts w:asciiTheme="minorEastAsia" w:eastAsiaTheme="minorEastAsia" w:hAnsiTheme="minorEastAsia" w:hint="eastAsia"/>
          <w:szCs w:val="21"/>
        </w:rPr>
        <w:t>表现居前，</w:t>
      </w:r>
      <w:r w:rsidR="009E77A8">
        <w:rPr>
          <w:rFonts w:ascii="宋体" w:hAnsi="宋体" w:hint="eastAsia"/>
          <w:szCs w:val="21"/>
        </w:rPr>
        <w:t>涨</w:t>
      </w:r>
      <w:r w:rsidR="009E77A8" w:rsidRPr="00380B80">
        <w:rPr>
          <w:rFonts w:asciiTheme="minorEastAsia" w:eastAsiaTheme="minorEastAsia" w:hAnsiTheme="minorEastAsia" w:hint="eastAsia"/>
          <w:szCs w:val="21"/>
        </w:rPr>
        <w:t>幅分别为</w:t>
      </w:r>
      <w:r w:rsidR="009E77A8">
        <w:rPr>
          <w:rFonts w:asciiTheme="minorEastAsia" w:eastAsiaTheme="minorEastAsia" w:hAnsiTheme="minorEastAsia" w:hint="eastAsia"/>
          <w:szCs w:val="21"/>
        </w:rPr>
        <w:t>9.66</w:t>
      </w:r>
      <w:r w:rsidR="009E77A8" w:rsidRPr="00380B80">
        <w:rPr>
          <w:rFonts w:asciiTheme="minorEastAsia" w:eastAsiaTheme="minorEastAsia" w:hAnsiTheme="minorEastAsia" w:hint="eastAsia"/>
          <w:szCs w:val="21"/>
        </w:rPr>
        <w:t>%、</w:t>
      </w:r>
      <w:r w:rsidR="009E77A8">
        <w:rPr>
          <w:rFonts w:asciiTheme="minorEastAsia" w:eastAsiaTheme="minorEastAsia" w:hAnsiTheme="minorEastAsia" w:hint="eastAsia"/>
          <w:szCs w:val="21"/>
        </w:rPr>
        <w:t>7.89</w:t>
      </w:r>
      <w:r w:rsidR="009E77A8" w:rsidRPr="00380B80">
        <w:rPr>
          <w:rFonts w:asciiTheme="minorEastAsia" w:eastAsiaTheme="minorEastAsia" w:hAnsiTheme="minorEastAsia" w:hint="eastAsia"/>
          <w:szCs w:val="21"/>
        </w:rPr>
        <w:t>%、</w:t>
      </w:r>
      <w:r w:rsidR="009E77A8">
        <w:rPr>
          <w:rFonts w:asciiTheme="minorEastAsia" w:eastAsiaTheme="minorEastAsia" w:hAnsiTheme="minorEastAsia" w:hint="eastAsia"/>
          <w:szCs w:val="21"/>
        </w:rPr>
        <w:t>7.28</w:t>
      </w:r>
      <w:r w:rsidR="009E77A8" w:rsidRPr="00380B80">
        <w:rPr>
          <w:rFonts w:asciiTheme="minorEastAsia" w:eastAsiaTheme="minorEastAsia" w:hAnsiTheme="minorEastAsia" w:hint="eastAsia"/>
          <w:szCs w:val="21"/>
        </w:rPr>
        <w:t>%，</w:t>
      </w:r>
      <w:r w:rsidR="009E77A8">
        <w:rPr>
          <w:rFonts w:asciiTheme="minorEastAsia" w:eastAsiaTheme="minorEastAsia" w:hAnsiTheme="minorEastAsia" w:hint="eastAsia"/>
          <w:szCs w:val="21"/>
        </w:rPr>
        <w:t>传播</w:t>
      </w:r>
      <w:r w:rsidR="009E77A8" w:rsidRPr="00380B80">
        <w:rPr>
          <w:rFonts w:asciiTheme="minorEastAsia" w:eastAsiaTheme="minorEastAsia" w:hAnsiTheme="minorEastAsia" w:hint="eastAsia"/>
          <w:szCs w:val="21"/>
        </w:rPr>
        <w:t>、</w:t>
      </w:r>
      <w:r w:rsidR="009E77A8">
        <w:rPr>
          <w:rFonts w:asciiTheme="minorEastAsia" w:eastAsiaTheme="minorEastAsia" w:hAnsiTheme="minorEastAsia" w:hint="eastAsia"/>
          <w:szCs w:val="21"/>
        </w:rPr>
        <w:t>医药、食品</w:t>
      </w:r>
      <w:r w:rsidR="009E77A8" w:rsidRPr="00380B80">
        <w:rPr>
          <w:rFonts w:asciiTheme="minorEastAsia" w:eastAsiaTheme="minorEastAsia" w:hAnsiTheme="minorEastAsia" w:hint="eastAsia"/>
          <w:szCs w:val="21"/>
        </w:rPr>
        <w:t>表现居后，</w:t>
      </w:r>
      <w:r w:rsidR="009E77A8">
        <w:rPr>
          <w:rFonts w:asciiTheme="minorEastAsia" w:eastAsiaTheme="minorEastAsia" w:hAnsiTheme="minorEastAsia" w:hint="eastAsia"/>
          <w:szCs w:val="21"/>
        </w:rPr>
        <w:t>涨</w:t>
      </w:r>
      <w:r w:rsidR="009E77A8">
        <w:rPr>
          <w:rFonts w:ascii="宋体" w:hAnsi="宋体" w:hint="eastAsia"/>
          <w:szCs w:val="21"/>
        </w:rPr>
        <w:t>跌</w:t>
      </w:r>
      <w:r w:rsidR="009E77A8" w:rsidRPr="00380B80">
        <w:rPr>
          <w:rFonts w:asciiTheme="minorEastAsia" w:eastAsiaTheme="minorEastAsia" w:hAnsiTheme="minorEastAsia" w:hint="eastAsia"/>
          <w:szCs w:val="21"/>
        </w:rPr>
        <w:t>幅分别为</w:t>
      </w:r>
      <w:r w:rsidR="009E77A8">
        <w:rPr>
          <w:rFonts w:asciiTheme="minorEastAsia" w:eastAsiaTheme="minorEastAsia" w:hAnsiTheme="minorEastAsia" w:hint="eastAsia"/>
          <w:szCs w:val="21"/>
        </w:rPr>
        <w:t>2.75</w:t>
      </w:r>
      <w:r w:rsidR="009E77A8" w:rsidRPr="00380B80">
        <w:rPr>
          <w:rFonts w:asciiTheme="minorEastAsia" w:eastAsiaTheme="minorEastAsia" w:hAnsiTheme="minorEastAsia" w:hint="eastAsia"/>
          <w:szCs w:val="21"/>
        </w:rPr>
        <w:t>%、</w:t>
      </w:r>
      <w:r w:rsidR="009E77A8">
        <w:rPr>
          <w:rFonts w:asciiTheme="minorEastAsia" w:eastAsiaTheme="minorEastAsia" w:hAnsiTheme="minorEastAsia" w:hint="eastAsia"/>
          <w:szCs w:val="21"/>
        </w:rPr>
        <w:t>2.46</w:t>
      </w:r>
      <w:r w:rsidR="009E77A8" w:rsidRPr="00380B80">
        <w:rPr>
          <w:rFonts w:asciiTheme="minorEastAsia" w:eastAsiaTheme="minorEastAsia" w:hAnsiTheme="minorEastAsia" w:hint="eastAsia"/>
          <w:szCs w:val="21"/>
        </w:rPr>
        <w:t xml:space="preserve">%、 </w:t>
      </w:r>
      <w:r w:rsidR="009E77A8">
        <w:rPr>
          <w:rFonts w:asciiTheme="minorEastAsia" w:eastAsiaTheme="minorEastAsia" w:hAnsiTheme="minorEastAsia" w:hint="eastAsia"/>
          <w:szCs w:val="21"/>
        </w:rPr>
        <w:t>-2.10</w:t>
      </w:r>
      <w:r w:rsidR="009E77A8" w:rsidRPr="00380B80">
        <w:rPr>
          <w:rFonts w:ascii="宋体" w:hAnsi="宋体" w:hint="eastAsia"/>
          <w:szCs w:val="21"/>
        </w:rPr>
        <w:t>%。</w:t>
      </w:r>
    </w:p>
    <w:p w:rsidR="001941E4" w:rsidRPr="001941E4" w:rsidRDefault="001941E4" w:rsidP="001941E4">
      <w:pPr>
        <w:ind w:firstLineChars="200" w:firstLine="400"/>
        <w:rPr>
          <w:rFonts w:ascii="宋体" w:hAnsi="宋体"/>
          <w:szCs w:val="21"/>
        </w:rPr>
      </w:pPr>
    </w:p>
    <w:p w:rsidR="00567AAA" w:rsidRPr="001941E4" w:rsidRDefault="004B4537" w:rsidP="001941E4">
      <w:pPr>
        <w:ind w:firstLineChars="200" w:firstLine="400"/>
        <w:rPr>
          <w:rFonts w:ascii="宋体" w:hAnsi="宋体"/>
          <w:szCs w:val="21"/>
        </w:rPr>
      </w:pPr>
      <w:r w:rsidRPr="001941E4">
        <w:rPr>
          <w:rFonts w:ascii="宋体" w:hAnsi="宋体" w:hint="eastAsia"/>
          <w:szCs w:val="21"/>
        </w:rPr>
        <w:t>受基础市场影响，和本期封闭式基金相关的指数</w:t>
      </w:r>
      <w:r w:rsidR="009829C3" w:rsidRPr="001941E4">
        <w:rPr>
          <w:rFonts w:ascii="宋体" w:hAnsi="宋体" w:hint="eastAsia"/>
          <w:szCs w:val="21"/>
        </w:rPr>
        <w:t>也</w:t>
      </w:r>
      <w:r w:rsidR="0034405B" w:rsidRPr="001941E4">
        <w:rPr>
          <w:rFonts w:ascii="宋体" w:hAnsi="宋体" w:hint="eastAsia"/>
          <w:szCs w:val="21"/>
        </w:rPr>
        <w:t>全线</w:t>
      </w:r>
      <w:r w:rsidR="001941E4">
        <w:rPr>
          <w:rFonts w:ascii="宋体" w:hAnsi="宋体" w:hint="eastAsia"/>
          <w:szCs w:val="21"/>
        </w:rPr>
        <w:t>上涨</w:t>
      </w:r>
      <w:r w:rsidRPr="001941E4">
        <w:rPr>
          <w:rFonts w:ascii="宋体" w:hAnsi="宋体" w:hint="eastAsia"/>
          <w:szCs w:val="21"/>
        </w:rPr>
        <w:t>，其中上证</w:t>
      </w:r>
      <w:r w:rsidR="006F0BD6" w:rsidRPr="001941E4">
        <w:rPr>
          <w:rFonts w:ascii="宋体" w:hAnsi="宋体"/>
          <w:szCs w:val="21"/>
        </w:rPr>
        <w:t>基金指数</w:t>
      </w:r>
      <w:r w:rsidR="00077273" w:rsidRPr="001941E4">
        <w:rPr>
          <w:rFonts w:ascii="宋体" w:hAnsi="宋体" w:hint="eastAsia"/>
          <w:szCs w:val="21"/>
        </w:rPr>
        <w:t>收于</w:t>
      </w:r>
      <w:r w:rsidR="00EF1389" w:rsidRPr="001941E4">
        <w:rPr>
          <w:rFonts w:ascii="宋体" w:hAnsi="宋体" w:hint="eastAsia"/>
          <w:szCs w:val="21"/>
        </w:rPr>
        <w:t>3539.43</w:t>
      </w:r>
      <w:r w:rsidR="00077273" w:rsidRPr="001941E4">
        <w:rPr>
          <w:rFonts w:ascii="宋体" w:hAnsi="宋体" w:hint="eastAsia"/>
          <w:szCs w:val="21"/>
        </w:rPr>
        <w:t>点，</w:t>
      </w:r>
      <w:r w:rsidR="00EF1389" w:rsidRPr="001941E4">
        <w:rPr>
          <w:rFonts w:ascii="宋体" w:hAnsi="宋体" w:hint="eastAsia"/>
          <w:szCs w:val="21"/>
        </w:rPr>
        <w:t>涨幅</w:t>
      </w:r>
      <w:r w:rsidR="00052737" w:rsidRPr="001941E4">
        <w:rPr>
          <w:rFonts w:ascii="宋体" w:hAnsi="宋体" w:hint="eastAsia"/>
          <w:szCs w:val="21"/>
        </w:rPr>
        <w:t>为</w:t>
      </w:r>
      <w:r w:rsidR="00EF1389" w:rsidRPr="001941E4">
        <w:rPr>
          <w:rFonts w:ascii="宋体" w:hAnsi="宋体" w:hint="eastAsia"/>
          <w:szCs w:val="21"/>
        </w:rPr>
        <w:t>4.51</w:t>
      </w:r>
      <w:r w:rsidR="006F0BD6" w:rsidRPr="001941E4">
        <w:rPr>
          <w:rFonts w:ascii="宋体" w:hAnsi="宋体"/>
          <w:szCs w:val="21"/>
        </w:rPr>
        <w:t>%</w:t>
      </w:r>
      <w:r w:rsidR="006F0BD6" w:rsidRPr="001941E4">
        <w:rPr>
          <w:rFonts w:ascii="宋体" w:hAnsi="宋体" w:hint="eastAsia"/>
          <w:szCs w:val="21"/>
        </w:rPr>
        <w:t>，</w:t>
      </w:r>
      <w:r w:rsidR="006F0BD6" w:rsidRPr="001941E4">
        <w:rPr>
          <w:rFonts w:ascii="宋体" w:hAnsi="宋体"/>
          <w:szCs w:val="21"/>
        </w:rPr>
        <w:t>深证基金指数</w:t>
      </w:r>
      <w:r w:rsidR="00077273" w:rsidRPr="001941E4">
        <w:rPr>
          <w:rFonts w:ascii="宋体" w:hAnsi="宋体" w:hint="eastAsia"/>
          <w:szCs w:val="21"/>
        </w:rPr>
        <w:t>收于</w:t>
      </w:r>
      <w:r w:rsidR="00EF1389" w:rsidRPr="001941E4">
        <w:rPr>
          <w:rFonts w:ascii="宋体" w:hAnsi="宋体" w:hint="eastAsia"/>
          <w:szCs w:val="21"/>
        </w:rPr>
        <w:t>4286.33</w:t>
      </w:r>
      <w:r w:rsidR="00077273" w:rsidRPr="001941E4">
        <w:rPr>
          <w:rFonts w:ascii="宋体" w:hAnsi="宋体" w:hint="eastAsia"/>
          <w:szCs w:val="21"/>
        </w:rPr>
        <w:t>点，</w:t>
      </w:r>
      <w:r w:rsidR="00694D65" w:rsidRPr="001941E4">
        <w:rPr>
          <w:rFonts w:ascii="宋体" w:hAnsi="宋体" w:hint="eastAsia"/>
          <w:szCs w:val="21"/>
        </w:rPr>
        <w:t>涨</w:t>
      </w:r>
      <w:r w:rsidR="003E1848" w:rsidRPr="001941E4">
        <w:rPr>
          <w:rFonts w:ascii="宋体" w:hAnsi="宋体" w:hint="eastAsia"/>
          <w:szCs w:val="21"/>
        </w:rPr>
        <w:t>幅</w:t>
      </w:r>
      <w:r w:rsidR="00052737" w:rsidRPr="001941E4">
        <w:rPr>
          <w:rFonts w:ascii="宋体" w:hAnsi="宋体" w:hint="eastAsia"/>
          <w:szCs w:val="21"/>
        </w:rPr>
        <w:t>为</w:t>
      </w:r>
      <w:r w:rsidR="00EF1389" w:rsidRPr="001941E4">
        <w:rPr>
          <w:rFonts w:ascii="宋体" w:hAnsi="宋体" w:hint="eastAsia"/>
          <w:szCs w:val="21"/>
        </w:rPr>
        <w:t>3.14</w:t>
      </w:r>
      <w:r w:rsidR="00AC2190" w:rsidRPr="001941E4">
        <w:rPr>
          <w:rFonts w:ascii="宋体" w:hAnsi="宋体"/>
          <w:szCs w:val="21"/>
        </w:rPr>
        <w:t>%</w:t>
      </w:r>
      <w:r w:rsidR="006F0BD6" w:rsidRPr="001941E4">
        <w:rPr>
          <w:rFonts w:ascii="宋体" w:hAnsi="宋体" w:hint="eastAsia"/>
          <w:szCs w:val="21"/>
        </w:rPr>
        <w:t>。</w:t>
      </w:r>
      <w:r w:rsidR="00567AAA" w:rsidRPr="001941E4">
        <w:rPr>
          <w:rFonts w:ascii="宋体" w:hAnsi="宋体" w:hint="eastAsia"/>
          <w:szCs w:val="21"/>
        </w:rPr>
        <w:t>本期封闭式基金二级市场平均价格变动较上周</w:t>
      </w:r>
      <w:r w:rsidR="00B30872" w:rsidRPr="001941E4">
        <w:rPr>
          <w:rFonts w:ascii="宋体" w:hAnsi="宋体" w:hint="eastAsia"/>
          <w:szCs w:val="21"/>
        </w:rPr>
        <w:t>数值</w:t>
      </w:r>
      <w:r w:rsidR="00EF1389" w:rsidRPr="001941E4">
        <w:rPr>
          <w:rFonts w:ascii="宋体" w:hAnsi="宋体" w:hint="eastAsia"/>
          <w:szCs w:val="21"/>
        </w:rPr>
        <w:t>上涨</w:t>
      </w:r>
      <w:r w:rsidR="00567AAA" w:rsidRPr="001941E4">
        <w:rPr>
          <w:rFonts w:ascii="宋体" w:hAnsi="宋体" w:hint="eastAsia"/>
          <w:szCs w:val="21"/>
        </w:rPr>
        <w:t>，平均价格变动率为</w:t>
      </w:r>
      <w:r w:rsidR="00EF1389" w:rsidRPr="001941E4">
        <w:rPr>
          <w:rFonts w:ascii="宋体" w:hAnsi="宋体" w:hint="eastAsia"/>
          <w:szCs w:val="21"/>
        </w:rPr>
        <w:t>0.76</w:t>
      </w:r>
      <w:r w:rsidR="00567AAA" w:rsidRPr="001941E4">
        <w:rPr>
          <w:rFonts w:ascii="宋体" w:hAnsi="宋体" w:hint="eastAsia"/>
          <w:szCs w:val="21"/>
        </w:rPr>
        <w:t>%，其中</w:t>
      </w:r>
      <w:proofErr w:type="gramStart"/>
      <w:r w:rsidR="007A5022" w:rsidRPr="001941E4">
        <w:rPr>
          <w:rFonts w:ascii="宋体" w:hAnsi="宋体" w:hint="eastAsia"/>
          <w:szCs w:val="21"/>
        </w:rPr>
        <w:t>基金</w:t>
      </w:r>
      <w:r w:rsidR="009F6FA8" w:rsidRPr="001941E4">
        <w:rPr>
          <w:rFonts w:ascii="宋体" w:hAnsi="宋体" w:hint="eastAsia"/>
          <w:szCs w:val="21"/>
        </w:rPr>
        <w:t>鸿阳</w:t>
      </w:r>
      <w:r w:rsidR="00567AAA" w:rsidRPr="001941E4">
        <w:rPr>
          <w:rFonts w:ascii="宋体" w:hAnsi="宋体" w:hint="eastAsia"/>
          <w:szCs w:val="21"/>
        </w:rPr>
        <w:t>在</w:t>
      </w:r>
      <w:proofErr w:type="gramEnd"/>
      <w:r w:rsidR="00567AAA" w:rsidRPr="001941E4">
        <w:rPr>
          <w:rFonts w:ascii="宋体" w:hAnsi="宋体" w:hint="eastAsia"/>
          <w:szCs w:val="21"/>
        </w:rPr>
        <w:t>二级市场价格</w:t>
      </w:r>
      <w:r w:rsidR="007B357E" w:rsidRPr="001941E4">
        <w:rPr>
          <w:rFonts w:ascii="宋体" w:hAnsi="宋体" w:hint="eastAsia"/>
          <w:szCs w:val="21"/>
        </w:rPr>
        <w:t>涨</w:t>
      </w:r>
      <w:r w:rsidR="00567AAA" w:rsidRPr="001941E4">
        <w:rPr>
          <w:rFonts w:ascii="宋体" w:hAnsi="宋体" w:hint="eastAsia"/>
          <w:szCs w:val="21"/>
        </w:rPr>
        <w:t>幅</w:t>
      </w:r>
      <w:r w:rsidR="00C50935" w:rsidRPr="001941E4">
        <w:rPr>
          <w:rFonts w:ascii="宋体" w:hAnsi="宋体" w:hint="eastAsia"/>
          <w:szCs w:val="21"/>
        </w:rPr>
        <w:t>最大</w:t>
      </w:r>
      <w:r w:rsidR="00567AAA" w:rsidRPr="001941E4">
        <w:rPr>
          <w:rFonts w:ascii="宋体" w:hAnsi="宋体" w:hint="eastAsia"/>
          <w:szCs w:val="21"/>
        </w:rPr>
        <w:t>，期间价格变动率均为</w:t>
      </w:r>
      <w:r w:rsidR="009F6FA8" w:rsidRPr="001941E4">
        <w:rPr>
          <w:rFonts w:ascii="宋体" w:hAnsi="宋体" w:hint="eastAsia"/>
          <w:szCs w:val="21"/>
        </w:rPr>
        <w:t>7.16</w:t>
      </w:r>
      <w:r w:rsidR="00567AAA" w:rsidRPr="001941E4">
        <w:rPr>
          <w:rFonts w:ascii="宋体" w:hAnsi="宋体" w:hint="eastAsia"/>
          <w:szCs w:val="21"/>
        </w:rPr>
        <w:t>%。总体来看，本期封闭式基金</w:t>
      </w:r>
      <w:r w:rsidR="000C49CD" w:rsidRPr="001941E4">
        <w:rPr>
          <w:rFonts w:ascii="宋体" w:hAnsi="宋体" w:hint="eastAsia"/>
          <w:szCs w:val="21"/>
        </w:rPr>
        <w:t>的</w:t>
      </w:r>
      <w:r w:rsidR="00CB4947" w:rsidRPr="001941E4">
        <w:rPr>
          <w:rFonts w:ascii="宋体" w:hAnsi="宋体" w:hint="eastAsia"/>
          <w:szCs w:val="21"/>
        </w:rPr>
        <w:t>平均价格变动率</w:t>
      </w:r>
      <w:r w:rsidR="00EF266C" w:rsidRPr="001941E4">
        <w:rPr>
          <w:rFonts w:ascii="宋体" w:hAnsi="宋体" w:hint="eastAsia"/>
          <w:szCs w:val="21"/>
        </w:rPr>
        <w:t>涨</w:t>
      </w:r>
      <w:r w:rsidR="000C49CD" w:rsidRPr="001941E4">
        <w:rPr>
          <w:rFonts w:ascii="宋体" w:hAnsi="宋体" w:hint="eastAsia"/>
          <w:szCs w:val="21"/>
        </w:rPr>
        <w:t>幅</w:t>
      </w:r>
      <w:r w:rsidR="00EF266C" w:rsidRPr="001941E4">
        <w:rPr>
          <w:rFonts w:ascii="宋体" w:hAnsi="宋体" w:hint="eastAsia"/>
          <w:szCs w:val="21"/>
        </w:rPr>
        <w:t>小</w:t>
      </w:r>
      <w:r w:rsidR="00567AAA" w:rsidRPr="001941E4">
        <w:rPr>
          <w:rFonts w:ascii="宋体" w:hAnsi="宋体" w:hint="eastAsia"/>
          <w:szCs w:val="21"/>
        </w:rPr>
        <w:t>于</w:t>
      </w:r>
      <w:r w:rsidR="000C49CD" w:rsidRPr="001941E4">
        <w:rPr>
          <w:rFonts w:ascii="宋体" w:hAnsi="宋体" w:hint="eastAsia"/>
          <w:szCs w:val="21"/>
        </w:rPr>
        <w:t>基金期间收益的平均</w:t>
      </w:r>
      <w:r w:rsidR="007A5022" w:rsidRPr="001941E4">
        <w:rPr>
          <w:rFonts w:ascii="宋体" w:hAnsi="宋体" w:hint="eastAsia"/>
          <w:szCs w:val="21"/>
        </w:rPr>
        <w:t>跌</w:t>
      </w:r>
      <w:r w:rsidR="000C49CD" w:rsidRPr="001941E4">
        <w:rPr>
          <w:rFonts w:ascii="宋体" w:hAnsi="宋体" w:hint="eastAsia"/>
          <w:szCs w:val="21"/>
        </w:rPr>
        <w:t>幅</w:t>
      </w:r>
      <w:r w:rsidR="00567AAA" w:rsidRPr="001941E4">
        <w:rPr>
          <w:rFonts w:ascii="宋体" w:hAnsi="宋体" w:hint="eastAsia"/>
          <w:szCs w:val="21"/>
        </w:rPr>
        <w:t>，26只封闭式基金，</w:t>
      </w:r>
      <w:r w:rsidR="00EB3580" w:rsidRPr="001941E4">
        <w:rPr>
          <w:rFonts w:ascii="宋体" w:hAnsi="宋体" w:hint="eastAsia"/>
          <w:szCs w:val="21"/>
        </w:rPr>
        <w:t>基金</w:t>
      </w:r>
      <w:r w:rsidR="00CB4947" w:rsidRPr="001941E4">
        <w:rPr>
          <w:rFonts w:ascii="宋体" w:hAnsi="宋体" w:hint="eastAsia"/>
          <w:szCs w:val="21"/>
        </w:rPr>
        <w:t>二级市场表现</w:t>
      </w:r>
      <w:r w:rsidR="00EF266C" w:rsidRPr="001941E4">
        <w:rPr>
          <w:rFonts w:ascii="宋体" w:hAnsi="宋体" w:hint="eastAsia"/>
          <w:szCs w:val="21"/>
        </w:rPr>
        <w:t>好</w:t>
      </w:r>
      <w:r w:rsidR="00567AAA" w:rsidRPr="001941E4">
        <w:rPr>
          <w:rFonts w:ascii="宋体" w:hAnsi="宋体" w:hint="eastAsia"/>
          <w:szCs w:val="21"/>
        </w:rPr>
        <w:t>于</w:t>
      </w:r>
      <w:r w:rsidR="00CB4947" w:rsidRPr="001941E4">
        <w:rPr>
          <w:rFonts w:ascii="宋体" w:hAnsi="宋体" w:hint="eastAsia"/>
          <w:szCs w:val="21"/>
        </w:rPr>
        <w:t>净值收益表现</w:t>
      </w:r>
      <w:r w:rsidR="00567AAA" w:rsidRPr="001941E4">
        <w:rPr>
          <w:rFonts w:ascii="宋体" w:hAnsi="宋体" w:hint="eastAsia"/>
          <w:szCs w:val="21"/>
        </w:rPr>
        <w:t>。</w:t>
      </w:r>
    </w:p>
    <w:p w:rsidR="00EB7808" w:rsidRPr="000273F6" w:rsidRDefault="00EB7808" w:rsidP="00EB7808">
      <w:pPr>
        <w:rPr>
          <w:rFonts w:ascii="宋体" w:hAnsi="宋体"/>
          <w:szCs w:val="21"/>
        </w:rPr>
      </w:pPr>
    </w:p>
    <w:p w:rsidR="004A48C6" w:rsidRPr="002F4110" w:rsidRDefault="006F0BD6" w:rsidP="00567AAA">
      <w:pPr>
        <w:ind w:firstLineChars="200" w:firstLine="400"/>
        <w:rPr>
          <w:rFonts w:ascii="宋体" w:hAnsi="宋体"/>
          <w:szCs w:val="21"/>
        </w:rPr>
      </w:pPr>
      <w:r w:rsidRPr="008F1DC5">
        <w:rPr>
          <w:rFonts w:ascii="宋体" w:hAnsi="宋体" w:hint="eastAsia"/>
          <w:szCs w:val="21"/>
        </w:rPr>
        <w:t>本</w:t>
      </w:r>
      <w:r w:rsidR="00DF0DB0" w:rsidRPr="008F1DC5">
        <w:rPr>
          <w:rFonts w:ascii="宋体" w:hAnsi="宋体" w:hint="eastAsia"/>
          <w:szCs w:val="21"/>
        </w:rPr>
        <w:t>次</w:t>
      </w:r>
      <w:r w:rsidRPr="008F1DC5">
        <w:rPr>
          <w:rFonts w:ascii="宋体" w:hAnsi="宋体" w:hint="eastAsia"/>
          <w:szCs w:val="21"/>
        </w:rPr>
        <w:t>纳入统计范围的2</w:t>
      </w:r>
      <w:r w:rsidR="00ED6FE7" w:rsidRPr="008F1DC5">
        <w:rPr>
          <w:rFonts w:ascii="宋体" w:hAnsi="宋体" w:hint="eastAsia"/>
          <w:szCs w:val="21"/>
        </w:rPr>
        <w:t>6</w:t>
      </w:r>
      <w:r w:rsidRPr="008F1DC5">
        <w:rPr>
          <w:rFonts w:ascii="宋体" w:hAnsi="宋体" w:hint="eastAsia"/>
          <w:szCs w:val="21"/>
        </w:rPr>
        <w:t>只封闭式基金平均折价率为</w:t>
      </w:r>
      <w:r w:rsidR="0099241C">
        <w:rPr>
          <w:rFonts w:ascii="宋体" w:hAnsi="宋体" w:hint="eastAsia"/>
          <w:szCs w:val="21"/>
        </w:rPr>
        <w:t>9.</w:t>
      </w:r>
      <w:r w:rsidR="004C0156">
        <w:rPr>
          <w:rFonts w:ascii="宋体" w:hAnsi="宋体" w:hint="eastAsia"/>
          <w:szCs w:val="21"/>
        </w:rPr>
        <w:t>79</w:t>
      </w:r>
      <w:r w:rsidR="00B30872" w:rsidRPr="008F1DC5">
        <w:rPr>
          <w:rFonts w:ascii="宋体" w:hAnsi="宋体" w:hint="eastAsia"/>
          <w:szCs w:val="21"/>
        </w:rPr>
        <w:t>%</w:t>
      </w:r>
      <w:r w:rsidR="001A7A16" w:rsidRPr="008F1DC5">
        <w:rPr>
          <w:rFonts w:ascii="宋体" w:hAnsi="宋体" w:hint="eastAsia"/>
          <w:szCs w:val="21"/>
        </w:rPr>
        <w:t>，较上期</w:t>
      </w:r>
      <w:r w:rsidR="005B665C" w:rsidRPr="008F1DC5">
        <w:rPr>
          <w:rFonts w:ascii="宋体" w:hAnsi="宋体" w:hint="eastAsia"/>
          <w:szCs w:val="21"/>
        </w:rPr>
        <w:t>数值</w:t>
      </w:r>
      <w:r w:rsidR="007B357E">
        <w:rPr>
          <w:rFonts w:ascii="宋体" w:hAnsi="宋体" w:hint="eastAsia"/>
          <w:szCs w:val="21"/>
        </w:rPr>
        <w:t>减少</w:t>
      </w:r>
      <w:r w:rsidRPr="008F1DC5">
        <w:rPr>
          <w:rFonts w:ascii="宋体" w:hAnsi="宋体" w:hint="eastAsia"/>
          <w:szCs w:val="21"/>
        </w:rPr>
        <w:t>了</w:t>
      </w:r>
      <w:r w:rsidR="004C0156">
        <w:rPr>
          <w:rFonts w:ascii="宋体" w:hAnsi="宋体" w:hint="eastAsia"/>
          <w:szCs w:val="21"/>
        </w:rPr>
        <w:t>1.31</w:t>
      </w:r>
      <w:r w:rsidRPr="008F1DC5">
        <w:rPr>
          <w:rFonts w:ascii="宋体" w:hAnsi="宋体" w:hint="eastAsia"/>
          <w:szCs w:val="21"/>
        </w:rPr>
        <w:t>%</w:t>
      </w:r>
      <w:r w:rsidRPr="008F1DC5">
        <w:rPr>
          <w:rFonts w:ascii="宋体" w:hAnsi="宋体"/>
          <w:szCs w:val="21"/>
        </w:rPr>
        <w:t>。</w:t>
      </w:r>
      <w:r w:rsidRPr="008F1DC5">
        <w:rPr>
          <w:rFonts w:ascii="宋体" w:hAnsi="宋体" w:cs="宋体" w:hint="eastAsia"/>
          <w:kern w:val="0"/>
          <w:szCs w:val="21"/>
        </w:rPr>
        <w:t>其中</w:t>
      </w:r>
      <w:proofErr w:type="gramStart"/>
      <w:r w:rsidRPr="008F1DC5">
        <w:rPr>
          <w:rFonts w:ascii="宋体" w:hAnsi="宋体" w:cs="宋体" w:hint="eastAsia"/>
          <w:kern w:val="0"/>
          <w:szCs w:val="21"/>
        </w:rPr>
        <w:t>基金</w:t>
      </w:r>
      <w:r w:rsidR="007B357E">
        <w:rPr>
          <w:rFonts w:ascii="宋体" w:hAnsi="宋体" w:cs="宋体" w:hint="eastAsia"/>
          <w:kern w:val="0"/>
          <w:szCs w:val="21"/>
        </w:rPr>
        <w:t>鸿阳</w:t>
      </w:r>
      <w:r w:rsidRPr="008F1DC5">
        <w:rPr>
          <w:rFonts w:ascii="宋体" w:hAnsi="宋体" w:cs="宋体" w:hint="eastAsia"/>
          <w:kern w:val="0"/>
          <w:szCs w:val="21"/>
        </w:rPr>
        <w:t>折价</w:t>
      </w:r>
      <w:proofErr w:type="gramEnd"/>
      <w:r w:rsidRPr="008F1DC5">
        <w:rPr>
          <w:rFonts w:ascii="宋体" w:hAnsi="宋体" w:cs="宋体" w:hint="eastAsia"/>
          <w:kern w:val="0"/>
          <w:szCs w:val="21"/>
        </w:rPr>
        <w:t>率最高，为</w:t>
      </w:r>
      <w:r w:rsidR="00E05E8A">
        <w:rPr>
          <w:rFonts w:ascii="宋体" w:hAnsi="宋体" w:cs="宋体" w:hint="eastAsia"/>
          <w:kern w:val="0"/>
          <w:szCs w:val="21"/>
        </w:rPr>
        <w:t>17.86</w:t>
      </w:r>
      <w:r w:rsidR="00175B3E" w:rsidRPr="008F1DC5">
        <w:rPr>
          <w:rFonts w:ascii="宋体" w:hAnsi="宋体" w:cs="宋体"/>
          <w:kern w:val="0"/>
          <w:szCs w:val="21"/>
        </w:rPr>
        <w:t>%</w:t>
      </w:r>
      <w:r w:rsidRPr="008F1DC5">
        <w:rPr>
          <w:rFonts w:ascii="宋体" w:hAnsi="宋体" w:cs="宋体" w:hint="eastAsia"/>
          <w:kern w:val="0"/>
          <w:szCs w:val="21"/>
        </w:rPr>
        <w:t>，</w:t>
      </w:r>
      <w:r w:rsidR="00204AD8" w:rsidRPr="008F1DC5">
        <w:rPr>
          <w:rFonts w:ascii="宋体" w:hAnsi="宋体" w:cs="宋体" w:hint="eastAsia"/>
          <w:kern w:val="0"/>
          <w:szCs w:val="21"/>
        </w:rPr>
        <w:t>基金</w:t>
      </w:r>
      <w:r w:rsidR="00E05E8A">
        <w:rPr>
          <w:rFonts w:ascii="宋体" w:hAnsi="宋体" w:cs="宋体" w:hint="eastAsia"/>
          <w:kern w:val="0"/>
          <w:szCs w:val="21"/>
        </w:rPr>
        <w:t>久嘉</w:t>
      </w:r>
      <w:r w:rsidR="007B357E">
        <w:rPr>
          <w:rFonts w:ascii="宋体" w:hAnsi="宋体" w:cs="宋体" w:hint="eastAsia"/>
          <w:kern w:val="0"/>
          <w:szCs w:val="21"/>
        </w:rPr>
        <w:t>、基金</w:t>
      </w:r>
      <w:r w:rsidR="00E05E8A">
        <w:rPr>
          <w:rFonts w:ascii="宋体" w:hAnsi="宋体" w:cs="宋体" w:hint="eastAsia"/>
          <w:kern w:val="0"/>
          <w:szCs w:val="21"/>
        </w:rPr>
        <w:t>银</w:t>
      </w:r>
      <w:proofErr w:type="gramStart"/>
      <w:r w:rsidR="00E05E8A">
        <w:rPr>
          <w:rFonts w:ascii="宋体" w:hAnsi="宋体" w:cs="宋体" w:hint="eastAsia"/>
          <w:kern w:val="0"/>
          <w:szCs w:val="21"/>
        </w:rPr>
        <w:t>丰</w:t>
      </w:r>
      <w:r w:rsidRPr="008F1DC5">
        <w:rPr>
          <w:rFonts w:ascii="宋体" w:hAnsi="宋体" w:cs="宋体" w:hint="eastAsia"/>
          <w:kern w:val="0"/>
          <w:szCs w:val="21"/>
        </w:rPr>
        <w:t>分别</w:t>
      </w:r>
      <w:proofErr w:type="gramEnd"/>
      <w:r w:rsidRPr="008F1DC5">
        <w:rPr>
          <w:rFonts w:ascii="宋体" w:hAnsi="宋体" w:cs="宋体" w:hint="eastAsia"/>
          <w:kern w:val="0"/>
          <w:szCs w:val="21"/>
        </w:rPr>
        <w:t>以</w:t>
      </w:r>
      <w:r w:rsidR="00E05E8A">
        <w:rPr>
          <w:rFonts w:ascii="宋体" w:hAnsi="宋体" w:cs="宋体" w:hint="eastAsia"/>
          <w:kern w:val="0"/>
          <w:szCs w:val="21"/>
        </w:rPr>
        <w:t>17.63</w:t>
      </w:r>
      <w:r w:rsidR="00175B3E" w:rsidRPr="008F1DC5">
        <w:rPr>
          <w:rFonts w:ascii="宋体" w:hAnsi="宋体" w:cs="宋体"/>
          <w:kern w:val="0"/>
          <w:szCs w:val="21"/>
        </w:rPr>
        <w:t>%</w:t>
      </w:r>
      <w:r w:rsidRPr="008F1DC5">
        <w:rPr>
          <w:rFonts w:ascii="宋体" w:hAnsi="宋体" w:cs="宋体" w:hint="eastAsia"/>
          <w:kern w:val="0"/>
          <w:szCs w:val="21"/>
        </w:rPr>
        <w:t>、</w:t>
      </w:r>
      <w:r w:rsidR="00885008">
        <w:rPr>
          <w:rFonts w:ascii="宋体" w:hAnsi="宋体" w:cs="宋体" w:hint="eastAsia"/>
          <w:kern w:val="0"/>
          <w:szCs w:val="21"/>
        </w:rPr>
        <w:t>1</w:t>
      </w:r>
      <w:r w:rsidR="00E05E8A">
        <w:rPr>
          <w:rFonts w:ascii="宋体" w:hAnsi="宋体" w:cs="宋体" w:hint="eastAsia"/>
          <w:kern w:val="0"/>
          <w:szCs w:val="21"/>
        </w:rPr>
        <w:t>6.79</w:t>
      </w:r>
      <w:r w:rsidRPr="008F1DC5">
        <w:rPr>
          <w:rFonts w:ascii="宋体" w:hAnsi="宋体" w:cs="宋体"/>
          <w:kern w:val="0"/>
          <w:szCs w:val="21"/>
        </w:rPr>
        <w:t>%</w:t>
      </w:r>
      <w:r w:rsidRPr="008F1DC5">
        <w:rPr>
          <w:rFonts w:ascii="宋体" w:hAnsi="宋体" w:cs="宋体" w:hint="eastAsia"/>
          <w:kern w:val="0"/>
          <w:szCs w:val="21"/>
        </w:rPr>
        <w:t>次之。</w:t>
      </w:r>
      <w:r w:rsidRPr="008F1DC5">
        <w:rPr>
          <w:rFonts w:ascii="宋体" w:hAnsi="宋体"/>
          <w:szCs w:val="21"/>
        </w:rPr>
        <w:t>从单只基金的净值数据上看，</w:t>
      </w:r>
      <w:r w:rsidRPr="008F1DC5">
        <w:rPr>
          <w:rFonts w:ascii="宋体" w:hAnsi="宋体" w:hint="eastAsia"/>
          <w:szCs w:val="21"/>
        </w:rPr>
        <w:t>2</w:t>
      </w:r>
      <w:r w:rsidR="004A48C6" w:rsidRPr="008F1DC5">
        <w:rPr>
          <w:rFonts w:ascii="宋体" w:hAnsi="宋体" w:hint="eastAsia"/>
          <w:szCs w:val="21"/>
        </w:rPr>
        <w:t>6</w:t>
      </w:r>
      <w:r w:rsidRPr="008F1DC5">
        <w:rPr>
          <w:rFonts w:ascii="宋体" w:hAnsi="宋体"/>
          <w:szCs w:val="21"/>
        </w:rPr>
        <w:t>只封闭式基金</w:t>
      </w:r>
      <w:r w:rsidR="00BB42A4" w:rsidRPr="008F1DC5">
        <w:rPr>
          <w:rFonts w:ascii="宋体" w:hAnsi="宋体" w:hint="eastAsia"/>
          <w:szCs w:val="21"/>
        </w:rPr>
        <w:t>净值收益</w:t>
      </w:r>
      <w:r w:rsidR="0072043D" w:rsidRPr="008F1DC5">
        <w:rPr>
          <w:rFonts w:ascii="宋体" w:hAnsi="宋体" w:hint="eastAsia"/>
          <w:szCs w:val="21"/>
        </w:rPr>
        <w:t>本周</w:t>
      </w:r>
      <w:r w:rsidR="00885008">
        <w:rPr>
          <w:rFonts w:ascii="宋体" w:hAnsi="宋体" w:hint="eastAsia"/>
          <w:szCs w:val="21"/>
        </w:rPr>
        <w:t>大</w:t>
      </w:r>
      <w:r w:rsidR="00387AE8">
        <w:rPr>
          <w:rFonts w:ascii="宋体" w:hAnsi="宋体" w:hint="eastAsia"/>
          <w:szCs w:val="21"/>
        </w:rPr>
        <w:t>幅</w:t>
      </w:r>
      <w:r w:rsidR="00E05E8A">
        <w:rPr>
          <w:rFonts w:ascii="宋体" w:hAnsi="宋体" w:hint="eastAsia"/>
          <w:szCs w:val="21"/>
        </w:rPr>
        <w:t>上涨</w:t>
      </w:r>
      <w:r w:rsidRPr="008F1DC5">
        <w:rPr>
          <w:rFonts w:ascii="宋体" w:hAnsi="宋体" w:hint="eastAsia"/>
          <w:szCs w:val="21"/>
        </w:rPr>
        <w:t>，本周平均净值收益率为</w:t>
      </w:r>
      <w:r w:rsidR="00E05E8A">
        <w:rPr>
          <w:rFonts w:ascii="宋体" w:hAnsi="宋体" w:hint="eastAsia"/>
          <w:szCs w:val="21"/>
        </w:rPr>
        <w:t>2.81</w:t>
      </w:r>
      <w:r w:rsidR="007F3FF7" w:rsidRPr="008F1DC5">
        <w:rPr>
          <w:rFonts w:ascii="宋体" w:hAnsi="宋体" w:hint="eastAsia"/>
          <w:szCs w:val="21"/>
        </w:rPr>
        <w:t>%</w:t>
      </w:r>
      <w:r w:rsidR="00281ABD" w:rsidRPr="008F1DC5">
        <w:rPr>
          <w:rFonts w:ascii="宋体" w:hAnsi="宋体" w:hint="eastAsia"/>
          <w:szCs w:val="21"/>
        </w:rPr>
        <w:t>。单只基金间的</w:t>
      </w:r>
      <w:r w:rsidRPr="008F1DC5">
        <w:rPr>
          <w:rFonts w:ascii="宋体" w:hAnsi="宋体" w:hint="eastAsia"/>
          <w:szCs w:val="21"/>
        </w:rPr>
        <w:t>净值收益</w:t>
      </w:r>
      <w:r w:rsidR="00FE49E0" w:rsidRPr="008F1DC5">
        <w:rPr>
          <w:rFonts w:ascii="宋体" w:hAnsi="宋体" w:hint="eastAsia"/>
          <w:szCs w:val="21"/>
        </w:rPr>
        <w:t>最大</w:t>
      </w:r>
      <w:r w:rsidRPr="008F1DC5">
        <w:rPr>
          <w:rFonts w:ascii="宋体" w:hAnsi="宋体" w:hint="eastAsia"/>
          <w:szCs w:val="21"/>
        </w:rPr>
        <w:t>差距为</w:t>
      </w:r>
      <w:r w:rsidR="00E05E8A">
        <w:rPr>
          <w:rFonts w:ascii="宋体" w:hAnsi="宋体" w:hint="eastAsia"/>
          <w:color w:val="000000" w:themeColor="text1"/>
          <w:szCs w:val="21"/>
        </w:rPr>
        <w:t>4.1</w:t>
      </w:r>
      <w:r w:rsidR="009E77A8">
        <w:rPr>
          <w:rFonts w:ascii="宋体" w:hAnsi="宋体" w:hint="eastAsia"/>
          <w:color w:val="000000" w:themeColor="text1"/>
          <w:szCs w:val="21"/>
        </w:rPr>
        <w:t>5</w:t>
      </w:r>
      <w:r w:rsidR="008004AD" w:rsidRPr="0034405B">
        <w:rPr>
          <w:rFonts w:ascii="宋体" w:hAnsi="宋体" w:cs="宋体" w:hint="eastAsia"/>
          <w:color w:val="000000" w:themeColor="text1"/>
          <w:kern w:val="0"/>
          <w:szCs w:val="21"/>
        </w:rPr>
        <w:t>%</w:t>
      </w:r>
      <w:r w:rsidR="007A3922" w:rsidRPr="008F1DC5">
        <w:rPr>
          <w:rFonts w:ascii="宋体" w:hAnsi="宋体" w:cs="宋体" w:hint="eastAsia"/>
          <w:kern w:val="0"/>
          <w:szCs w:val="21"/>
        </w:rPr>
        <w:t>，</w:t>
      </w:r>
      <w:r w:rsidR="007A3922" w:rsidRPr="008F1DC5">
        <w:rPr>
          <w:rFonts w:ascii="宋体" w:hAnsi="宋体" w:hint="eastAsia"/>
          <w:szCs w:val="21"/>
        </w:rPr>
        <w:t>该数值</w:t>
      </w:r>
      <w:r w:rsidR="00FB47AC" w:rsidRPr="008F1DC5">
        <w:rPr>
          <w:rFonts w:ascii="宋体" w:hAnsi="宋体" w:hint="eastAsia"/>
          <w:szCs w:val="21"/>
        </w:rPr>
        <w:t>较</w:t>
      </w:r>
      <w:r w:rsidR="007A3922" w:rsidRPr="008F1DC5">
        <w:rPr>
          <w:rFonts w:ascii="宋体" w:hAnsi="宋体" w:hint="eastAsia"/>
          <w:szCs w:val="21"/>
        </w:rPr>
        <w:t>上期</w:t>
      </w:r>
      <w:r w:rsidR="00095893" w:rsidRPr="008F1DC5">
        <w:rPr>
          <w:rFonts w:ascii="宋体" w:hAnsi="宋体" w:hint="eastAsia"/>
          <w:szCs w:val="21"/>
        </w:rPr>
        <w:t>所得</w:t>
      </w:r>
      <w:r w:rsidR="00930101" w:rsidRPr="008F1DC5">
        <w:rPr>
          <w:rFonts w:ascii="宋体" w:hAnsi="宋体" w:hint="eastAsia"/>
          <w:szCs w:val="21"/>
        </w:rPr>
        <w:t>值</w:t>
      </w:r>
      <w:r w:rsidR="006D4900">
        <w:rPr>
          <w:rFonts w:ascii="宋体" w:hAnsi="宋体" w:hint="eastAsia"/>
          <w:szCs w:val="21"/>
        </w:rPr>
        <w:t>小幅下降</w:t>
      </w:r>
      <w:r w:rsidRPr="008F1DC5">
        <w:rPr>
          <w:rFonts w:ascii="宋体" w:hAnsi="宋体" w:hint="eastAsia"/>
          <w:szCs w:val="21"/>
        </w:rPr>
        <w:t>。其中，</w:t>
      </w:r>
      <w:r w:rsidR="004F7BFC" w:rsidRPr="008F1DC5">
        <w:rPr>
          <w:rFonts w:ascii="宋体" w:hAnsi="宋体" w:hint="eastAsia"/>
          <w:szCs w:val="21"/>
        </w:rPr>
        <w:t>基金</w:t>
      </w:r>
      <w:r w:rsidR="006D4900">
        <w:rPr>
          <w:rFonts w:ascii="宋体" w:hAnsi="宋体" w:hint="eastAsia"/>
          <w:szCs w:val="21"/>
        </w:rPr>
        <w:t>裕隆</w:t>
      </w:r>
      <w:r w:rsidR="00BB42A4" w:rsidRPr="008F1DC5">
        <w:rPr>
          <w:rFonts w:ascii="宋体" w:hAnsi="宋体" w:hint="eastAsia"/>
          <w:szCs w:val="21"/>
        </w:rPr>
        <w:t>本期净值</w:t>
      </w:r>
      <w:proofErr w:type="gramStart"/>
      <w:r w:rsidR="00BB42A4" w:rsidRPr="008F1DC5">
        <w:rPr>
          <w:rFonts w:ascii="宋体" w:hAnsi="宋体" w:hint="eastAsia"/>
          <w:szCs w:val="21"/>
        </w:rPr>
        <w:t>收益率</w:t>
      </w:r>
      <w:r w:rsidR="006D4900">
        <w:rPr>
          <w:rFonts w:ascii="宋体" w:hAnsi="宋体" w:hint="eastAsia"/>
          <w:szCs w:val="21"/>
        </w:rPr>
        <w:t>涨</w:t>
      </w:r>
      <w:r w:rsidR="00E14A5F" w:rsidRPr="008F1DC5">
        <w:rPr>
          <w:rFonts w:ascii="宋体" w:hAnsi="宋体" w:hint="eastAsia"/>
          <w:szCs w:val="21"/>
        </w:rPr>
        <w:t>幅</w:t>
      </w:r>
      <w:proofErr w:type="gramEnd"/>
      <w:r w:rsidR="00E14A5F" w:rsidRPr="008F1DC5">
        <w:rPr>
          <w:rFonts w:ascii="宋体" w:hAnsi="宋体" w:hint="eastAsia"/>
          <w:szCs w:val="21"/>
        </w:rPr>
        <w:t>最</w:t>
      </w:r>
      <w:r w:rsidR="00486121">
        <w:rPr>
          <w:rFonts w:ascii="宋体" w:hAnsi="宋体" w:hint="eastAsia"/>
          <w:szCs w:val="21"/>
        </w:rPr>
        <w:t>大</w:t>
      </w:r>
      <w:r w:rsidRPr="008F1DC5">
        <w:rPr>
          <w:rFonts w:ascii="宋体" w:hAnsi="宋体" w:hint="eastAsia"/>
          <w:szCs w:val="21"/>
        </w:rPr>
        <w:t>，为</w:t>
      </w:r>
      <w:r w:rsidR="006D4900">
        <w:rPr>
          <w:rFonts w:ascii="宋体" w:hAnsi="宋体" w:hint="eastAsia"/>
          <w:szCs w:val="21"/>
        </w:rPr>
        <w:t>4.17</w:t>
      </w:r>
      <w:r w:rsidR="008004AD" w:rsidRPr="008F1DC5">
        <w:rPr>
          <w:rFonts w:ascii="宋体" w:hAnsi="宋体" w:hint="eastAsia"/>
          <w:szCs w:val="21"/>
        </w:rPr>
        <w:t>%</w:t>
      </w:r>
      <w:r w:rsidR="00651BA1" w:rsidRPr="008F1DC5">
        <w:rPr>
          <w:rFonts w:ascii="宋体" w:hAnsi="宋体" w:hint="eastAsia"/>
          <w:szCs w:val="21"/>
        </w:rPr>
        <w:t>；</w:t>
      </w:r>
      <w:r w:rsidR="000E6E1D" w:rsidRPr="008F1DC5">
        <w:rPr>
          <w:rFonts w:ascii="宋体" w:hAnsi="宋体" w:hint="eastAsia"/>
          <w:szCs w:val="21"/>
        </w:rPr>
        <w:t>基金</w:t>
      </w:r>
      <w:proofErr w:type="gramStart"/>
      <w:r w:rsidR="00885008">
        <w:rPr>
          <w:rFonts w:ascii="宋体" w:hAnsi="宋体" w:hint="eastAsia"/>
          <w:szCs w:val="21"/>
        </w:rPr>
        <w:t>金</w:t>
      </w:r>
      <w:proofErr w:type="gramEnd"/>
      <w:r w:rsidR="00885008">
        <w:rPr>
          <w:rFonts w:ascii="宋体" w:hAnsi="宋体" w:hint="eastAsia"/>
          <w:szCs w:val="21"/>
        </w:rPr>
        <w:t>泰</w:t>
      </w:r>
      <w:r w:rsidR="00095893" w:rsidRPr="008F1DC5">
        <w:rPr>
          <w:rFonts w:ascii="宋体" w:hAnsi="宋体" w:hint="eastAsia"/>
          <w:szCs w:val="21"/>
        </w:rPr>
        <w:t>本期净值</w:t>
      </w:r>
      <w:proofErr w:type="gramStart"/>
      <w:r w:rsidR="00095893" w:rsidRPr="008F1DC5">
        <w:rPr>
          <w:rFonts w:ascii="宋体" w:hAnsi="宋体" w:hint="eastAsia"/>
          <w:szCs w:val="21"/>
        </w:rPr>
        <w:t>收益率</w:t>
      </w:r>
      <w:r w:rsidR="006D4900">
        <w:rPr>
          <w:rFonts w:ascii="宋体" w:hAnsi="宋体" w:hint="eastAsia"/>
          <w:szCs w:val="21"/>
        </w:rPr>
        <w:t>涨幅</w:t>
      </w:r>
      <w:proofErr w:type="gramEnd"/>
      <w:r w:rsidR="0031123A">
        <w:rPr>
          <w:rFonts w:ascii="宋体" w:hAnsi="宋体" w:hint="eastAsia"/>
          <w:szCs w:val="21"/>
        </w:rPr>
        <w:t>最</w:t>
      </w:r>
      <w:r w:rsidR="006D4900">
        <w:rPr>
          <w:rFonts w:ascii="宋体" w:hAnsi="宋体" w:hint="eastAsia"/>
          <w:szCs w:val="21"/>
        </w:rPr>
        <w:t>小</w:t>
      </w:r>
      <w:r w:rsidR="00095893" w:rsidRPr="008F1DC5">
        <w:rPr>
          <w:rFonts w:ascii="宋体" w:hAnsi="宋体" w:hint="eastAsia"/>
          <w:szCs w:val="21"/>
        </w:rPr>
        <w:t>，为</w:t>
      </w:r>
      <w:r w:rsidR="00885008">
        <w:rPr>
          <w:rFonts w:ascii="宋体" w:hAnsi="宋体" w:hint="eastAsia"/>
          <w:szCs w:val="21"/>
        </w:rPr>
        <w:t>0.</w:t>
      </w:r>
      <w:r w:rsidR="006D4900">
        <w:rPr>
          <w:rFonts w:ascii="宋体" w:hAnsi="宋体" w:hint="eastAsia"/>
          <w:szCs w:val="21"/>
        </w:rPr>
        <w:t>0</w:t>
      </w:r>
      <w:r w:rsidR="00885008">
        <w:rPr>
          <w:rFonts w:ascii="宋体" w:hAnsi="宋体" w:hint="eastAsia"/>
          <w:szCs w:val="21"/>
        </w:rPr>
        <w:t>2</w:t>
      </w:r>
      <w:r w:rsidR="00095893" w:rsidRPr="008F1DC5">
        <w:rPr>
          <w:rFonts w:ascii="宋体" w:hAnsi="宋体"/>
          <w:szCs w:val="21"/>
        </w:rPr>
        <w:t>%</w:t>
      </w:r>
      <w:r w:rsidR="00095893" w:rsidRPr="008F1DC5">
        <w:rPr>
          <w:rFonts w:ascii="宋体" w:hAnsi="宋体" w:hint="eastAsia"/>
          <w:szCs w:val="21"/>
        </w:rPr>
        <w:t>。</w:t>
      </w:r>
      <w:r w:rsidR="003A25BD" w:rsidRPr="002F4110">
        <w:rPr>
          <w:rFonts w:ascii="宋体" w:hAnsi="宋体" w:hint="eastAsia"/>
          <w:szCs w:val="21"/>
        </w:rPr>
        <w:t>2</w:t>
      </w:r>
      <w:r w:rsidR="00A8765F" w:rsidRPr="002F4110">
        <w:rPr>
          <w:rFonts w:ascii="宋体" w:hAnsi="宋体" w:hint="eastAsia"/>
          <w:szCs w:val="21"/>
        </w:rPr>
        <w:t>6</w:t>
      </w:r>
      <w:r w:rsidR="003A25BD" w:rsidRPr="002F4110">
        <w:rPr>
          <w:rFonts w:ascii="宋体" w:hAnsi="宋体" w:hint="eastAsia"/>
          <w:szCs w:val="21"/>
        </w:rPr>
        <w:t>只基金中</w:t>
      </w:r>
      <w:r w:rsidR="00DB79B3">
        <w:rPr>
          <w:rFonts w:ascii="宋体" w:hAnsi="宋体" w:hint="eastAsia"/>
          <w:szCs w:val="21"/>
        </w:rPr>
        <w:t>有</w:t>
      </w:r>
      <w:r w:rsidR="00885008">
        <w:rPr>
          <w:rFonts w:ascii="宋体" w:hAnsi="宋体" w:hint="eastAsia"/>
          <w:szCs w:val="21"/>
        </w:rPr>
        <w:t>1</w:t>
      </w:r>
      <w:r w:rsidR="00DB79B3">
        <w:rPr>
          <w:rFonts w:ascii="宋体" w:hAnsi="宋体" w:hint="eastAsia"/>
          <w:szCs w:val="21"/>
        </w:rPr>
        <w:t>只（占比</w:t>
      </w:r>
      <w:r w:rsidR="00885008">
        <w:rPr>
          <w:rFonts w:ascii="宋体" w:hAnsi="宋体" w:hint="eastAsia"/>
          <w:szCs w:val="21"/>
        </w:rPr>
        <w:t>3.8</w:t>
      </w:r>
      <w:r w:rsidR="00DB79B3">
        <w:rPr>
          <w:rFonts w:ascii="宋体" w:hAnsi="宋体" w:hint="eastAsia"/>
          <w:szCs w:val="21"/>
        </w:rPr>
        <w:t>%）基金的本周净值收益率在</w:t>
      </w:r>
      <w:r w:rsidR="00885008">
        <w:rPr>
          <w:rFonts w:ascii="宋体" w:hAnsi="宋体" w:hint="eastAsia"/>
          <w:szCs w:val="21"/>
        </w:rPr>
        <w:t>0</w:t>
      </w:r>
      <w:r w:rsidR="00DB79B3">
        <w:rPr>
          <w:rFonts w:ascii="宋体" w:hAnsi="宋体" w:hint="eastAsia"/>
          <w:szCs w:val="21"/>
        </w:rPr>
        <w:t>%到</w:t>
      </w:r>
      <w:r w:rsidR="00885008">
        <w:rPr>
          <w:rFonts w:ascii="宋体" w:hAnsi="宋体" w:hint="eastAsia"/>
          <w:szCs w:val="21"/>
        </w:rPr>
        <w:t>1</w:t>
      </w:r>
      <w:r w:rsidR="00DB79B3">
        <w:rPr>
          <w:rFonts w:ascii="宋体" w:hAnsi="宋体" w:hint="eastAsia"/>
          <w:szCs w:val="21"/>
        </w:rPr>
        <w:t>%之间</w:t>
      </w:r>
      <w:r w:rsidR="006D4900">
        <w:rPr>
          <w:rFonts w:ascii="宋体" w:hAnsi="宋体" w:hint="eastAsia"/>
          <w:szCs w:val="21"/>
        </w:rPr>
        <w:t>，</w:t>
      </w:r>
      <w:r w:rsidR="006D4900" w:rsidRPr="002F4110">
        <w:rPr>
          <w:rFonts w:ascii="宋体" w:hAnsi="宋体" w:hint="eastAsia"/>
          <w:szCs w:val="21"/>
        </w:rPr>
        <w:t>有</w:t>
      </w:r>
      <w:r w:rsidR="006D4900">
        <w:rPr>
          <w:rFonts w:ascii="宋体" w:hAnsi="宋体" w:hint="eastAsia"/>
          <w:szCs w:val="21"/>
        </w:rPr>
        <w:t>3</w:t>
      </w:r>
      <w:r w:rsidR="006D4900" w:rsidRPr="002F4110">
        <w:rPr>
          <w:rFonts w:ascii="宋体" w:hAnsi="宋体" w:hint="eastAsia"/>
          <w:szCs w:val="21"/>
        </w:rPr>
        <w:t>只（占比</w:t>
      </w:r>
      <w:r w:rsidR="006D4900">
        <w:rPr>
          <w:rFonts w:ascii="宋体" w:hAnsi="宋体" w:hint="eastAsia"/>
          <w:szCs w:val="21"/>
        </w:rPr>
        <w:t>11.5</w:t>
      </w:r>
      <w:r w:rsidR="006D4900" w:rsidRPr="002F4110">
        <w:rPr>
          <w:rFonts w:ascii="宋体" w:hAnsi="宋体" w:hint="eastAsia"/>
          <w:szCs w:val="21"/>
        </w:rPr>
        <w:t>%）基金的净值收益率在</w:t>
      </w:r>
      <w:r w:rsidR="006D4900">
        <w:rPr>
          <w:rFonts w:ascii="宋体" w:hAnsi="宋体" w:hint="eastAsia"/>
          <w:szCs w:val="21"/>
        </w:rPr>
        <w:t>1%到2%之间，有22只（占比84.6%）基金的净值收益率在2%以上。</w:t>
      </w:r>
    </w:p>
    <w:p w:rsidR="007923FA" w:rsidRPr="00A245D0" w:rsidRDefault="007923FA" w:rsidP="00044B79">
      <w:pPr>
        <w:rPr>
          <w:rFonts w:ascii="宋体" w:hAnsi="宋体"/>
          <w:szCs w:val="21"/>
        </w:rPr>
      </w:pPr>
    </w:p>
    <w:p w:rsidR="006F0BD6" w:rsidRPr="008A7218" w:rsidRDefault="006F0BD6" w:rsidP="006F0BD6">
      <w:pPr>
        <w:rPr>
          <w:b/>
        </w:rPr>
      </w:pPr>
      <w:r w:rsidRPr="008A7218">
        <w:rPr>
          <w:rFonts w:hint="eastAsia"/>
          <w:b/>
        </w:rPr>
        <w:t>表：封闭式基金本期净值及折价表现（</w:t>
      </w:r>
      <w:r w:rsidR="00A75013">
        <w:rPr>
          <w:rFonts w:asciiTheme="minorEastAsia" w:eastAsiaTheme="minorEastAsia" w:hAnsiTheme="minorEastAsia" w:hint="eastAsia"/>
          <w:b/>
        </w:rPr>
        <w:t>1</w:t>
      </w:r>
      <w:r w:rsidR="00CA3C69">
        <w:rPr>
          <w:rFonts w:asciiTheme="minorEastAsia" w:eastAsiaTheme="minorEastAsia" w:hAnsiTheme="minorEastAsia" w:hint="eastAsia"/>
          <w:b/>
        </w:rPr>
        <w:t>2</w:t>
      </w:r>
      <w:r w:rsidR="0031123A" w:rsidRPr="0031123A">
        <w:rPr>
          <w:rFonts w:asciiTheme="minorEastAsia" w:eastAsiaTheme="minorEastAsia" w:hAnsiTheme="minorEastAsia" w:hint="eastAsia"/>
          <w:b/>
        </w:rPr>
        <w:t>.</w:t>
      </w:r>
      <w:r w:rsidR="00CA3C69">
        <w:rPr>
          <w:rFonts w:asciiTheme="minorEastAsia" w:eastAsiaTheme="minorEastAsia" w:hAnsiTheme="minorEastAsia" w:hint="eastAsia"/>
          <w:b/>
        </w:rPr>
        <w:t>03</w:t>
      </w:r>
      <w:r w:rsidRPr="008A7218">
        <w:rPr>
          <w:rFonts w:ascii="宋体" w:hAnsi="宋体" w:hint="eastAsia"/>
          <w:b/>
        </w:rPr>
        <w:t>—</w:t>
      </w:r>
      <w:r w:rsidR="0031123A">
        <w:rPr>
          <w:rFonts w:ascii="宋体" w:hAnsi="宋体" w:hint="eastAsia"/>
          <w:b/>
        </w:rPr>
        <w:t>1</w:t>
      </w:r>
      <w:r w:rsidR="00CA3C69">
        <w:rPr>
          <w:rFonts w:ascii="宋体" w:hAnsi="宋体" w:hint="eastAsia"/>
          <w:b/>
        </w:rPr>
        <w:t>2</w:t>
      </w:r>
      <w:r w:rsidR="0031123A">
        <w:rPr>
          <w:rFonts w:ascii="宋体" w:hAnsi="宋体" w:hint="eastAsia"/>
          <w:b/>
        </w:rPr>
        <w:t>.</w:t>
      </w:r>
      <w:r w:rsidR="00CA3C69">
        <w:rPr>
          <w:rFonts w:ascii="宋体" w:hAnsi="宋体" w:hint="eastAsia"/>
          <w:b/>
        </w:rPr>
        <w:t>07</w:t>
      </w:r>
      <w:r w:rsidRPr="008A7218">
        <w:rPr>
          <w:rFonts w:hint="eastAsia"/>
          <w:b/>
        </w:rPr>
        <w:t>）</w:t>
      </w:r>
    </w:p>
    <w:tbl>
      <w:tblPr>
        <w:tblW w:w="5000" w:type="pct"/>
        <w:jc w:val="center"/>
        <w:tblLook w:val="0000"/>
      </w:tblPr>
      <w:tblGrid>
        <w:gridCol w:w="1064"/>
        <w:gridCol w:w="1018"/>
        <w:gridCol w:w="1160"/>
        <w:gridCol w:w="1160"/>
        <w:gridCol w:w="902"/>
        <w:gridCol w:w="1117"/>
        <w:gridCol w:w="916"/>
        <w:gridCol w:w="1191"/>
      </w:tblGrid>
      <w:tr w:rsidR="006F0BD6" w:rsidRPr="00052737" w:rsidTr="00BC5441">
        <w:trPr>
          <w:trHeight w:val="300"/>
          <w:jc w:val="center"/>
        </w:trPr>
        <w:tc>
          <w:tcPr>
            <w:tcW w:w="624" w:type="pct"/>
            <w:tcBorders>
              <w:top w:val="single" w:sz="4" w:space="0" w:color="auto"/>
              <w:left w:val="single" w:sz="4" w:space="0" w:color="auto"/>
              <w:bottom w:val="single" w:sz="4" w:space="0" w:color="auto"/>
              <w:right w:val="single" w:sz="4" w:space="0" w:color="auto"/>
            </w:tcBorders>
            <w:shd w:val="clear" w:color="auto" w:fill="C0C0C0"/>
            <w:vAlign w:val="center"/>
          </w:tcPr>
          <w:p w:rsidR="006F0BD6" w:rsidRPr="00052737" w:rsidRDefault="006F0BD6" w:rsidP="007942D3">
            <w:pPr>
              <w:widowControl/>
              <w:jc w:val="center"/>
              <w:rPr>
                <w:rFonts w:asciiTheme="minorEastAsia" w:eastAsiaTheme="minorEastAsia" w:hAnsiTheme="minorEastAsia" w:cs="宋体"/>
                <w:b/>
                <w:bCs/>
                <w:kern w:val="0"/>
                <w:sz w:val="18"/>
                <w:szCs w:val="18"/>
              </w:rPr>
            </w:pPr>
            <w:r w:rsidRPr="00052737">
              <w:rPr>
                <w:rFonts w:asciiTheme="minorEastAsia" w:eastAsiaTheme="minorEastAsia" w:hAnsiTheme="minorEastAsia" w:cs="宋体" w:hint="eastAsia"/>
                <w:b/>
                <w:bCs/>
                <w:kern w:val="0"/>
                <w:sz w:val="18"/>
                <w:szCs w:val="18"/>
              </w:rPr>
              <w:t>证券简称</w:t>
            </w:r>
          </w:p>
        </w:tc>
        <w:tc>
          <w:tcPr>
            <w:tcW w:w="597" w:type="pct"/>
            <w:tcBorders>
              <w:top w:val="single" w:sz="4" w:space="0" w:color="auto"/>
              <w:left w:val="nil"/>
              <w:bottom w:val="single" w:sz="4" w:space="0" w:color="auto"/>
              <w:right w:val="single" w:sz="4" w:space="0" w:color="auto"/>
            </w:tcBorders>
            <w:shd w:val="clear" w:color="auto" w:fill="C0C0C0"/>
            <w:vAlign w:val="center"/>
          </w:tcPr>
          <w:p w:rsidR="006F0BD6" w:rsidRPr="00052737" w:rsidRDefault="006F0BD6" w:rsidP="007942D3">
            <w:pPr>
              <w:widowControl/>
              <w:jc w:val="center"/>
              <w:rPr>
                <w:rFonts w:asciiTheme="minorEastAsia" w:eastAsiaTheme="minorEastAsia" w:hAnsiTheme="minorEastAsia" w:cs="宋体"/>
                <w:b/>
                <w:bCs/>
                <w:kern w:val="0"/>
                <w:sz w:val="18"/>
                <w:szCs w:val="18"/>
              </w:rPr>
            </w:pPr>
            <w:r w:rsidRPr="00052737">
              <w:rPr>
                <w:rFonts w:asciiTheme="minorEastAsia" w:eastAsiaTheme="minorEastAsia" w:hAnsiTheme="minorEastAsia" w:cs="宋体" w:hint="eastAsia"/>
                <w:b/>
                <w:bCs/>
                <w:kern w:val="0"/>
                <w:sz w:val="18"/>
                <w:szCs w:val="18"/>
              </w:rPr>
              <w:t>证券代码</w:t>
            </w:r>
          </w:p>
        </w:tc>
        <w:tc>
          <w:tcPr>
            <w:tcW w:w="680" w:type="pct"/>
            <w:tcBorders>
              <w:top w:val="single" w:sz="4" w:space="0" w:color="auto"/>
              <w:left w:val="nil"/>
              <w:bottom w:val="single" w:sz="4" w:space="0" w:color="auto"/>
              <w:right w:val="single" w:sz="4" w:space="0" w:color="auto"/>
            </w:tcBorders>
            <w:shd w:val="clear" w:color="auto" w:fill="C0C0C0"/>
            <w:vAlign w:val="center"/>
          </w:tcPr>
          <w:p w:rsidR="006F0BD6" w:rsidRPr="00052737" w:rsidRDefault="006F0BD6" w:rsidP="007942D3">
            <w:pPr>
              <w:widowControl/>
              <w:jc w:val="center"/>
              <w:rPr>
                <w:rFonts w:asciiTheme="minorEastAsia" w:eastAsiaTheme="minorEastAsia" w:hAnsiTheme="minorEastAsia" w:cs="宋体"/>
                <w:b/>
                <w:bCs/>
                <w:kern w:val="0"/>
                <w:sz w:val="18"/>
                <w:szCs w:val="18"/>
              </w:rPr>
            </w:pPr>
            <w:r w:rsidRPr="00052737">
              <w:rPr>
                <w:rFonts w:asciiTheme="minorEastAsia" w:eastAsiaTheme="minorEastAsia" w:hAnsiTheme="minorEastAsia" w:cs="宋体" w:hint="eastAsia"/>
                <w:b/>
                <w:bCs/>
                <w:kern w:val="0"/>
                <w:sz w:val="18"/>
                <w:szCs w:val="18"/>
              </w:rPr>
              <w:t>最新单位净值（元）</w:t>
            </w:r>
          </w:p>
        </w:tc>
        <w:tc>
          <w:tcPr>
            <w:tcW w:w="680" w:type="pct"/>
            <w:tcBorders>
              <w:top w:val="single" w:sz="4" w:space="0" w:color="auto"/>
              <w:left w:val="nil"/>
              <w:bottom w:val="single" w:sz="4" w:space="0" w:color="auto"/>
              <w:right w:val="single" w:sz="4" w:space="0" w:color="auto"/>
            </w:tcBorders>
            <w:shd w:val="clear" w:color="auto" w:fill="C0C0C0"/>
            <w:vAlign w:val="center"/>
          </w:tcPr>
          <w:p w:rsidR="006F0BD6" w:rsidRPr="00052737" w:rsidRDefault="006F0BD6" w:rsidP="007942D3">
            <w:pPr>
              <w:widowControl/>
              <w:jc w:val="center"/>
              <w:rPr>
                <w:rFonts w:asciiTheme="minorEastAsia" w:eastAsiaTheme="minorEastAsia" w:hAnsiTheme="minorEastAsia" w:cs="宋体"/>
                <w:b/>
                <w:bCs/>
                <w:kern w:val="0"/>
                <w:sz w:val="18"/>
                <w:szCs w:val="18"/>
              </w:rPr>
            </w:pPr>
            <w:r w:rsidRPr="00052737">
              <w:rPr>
                <w:rFonts w:asciiTheme="minorEastAsia" w:eastAsiaTheme="minorEastAsia" w:hAnsiTheme="minorEastAsia" w:cs="宋体" w:hint="eastAsia"/>
                <w:b/>
                <w:bCs/>
                <w:kern w:val="0"/>
                <w:sz w:val="18"/>
                <w:szCs w:val="18"/>
              </w:rPr>
              <w:t>最新单位价格（元）</w:t>
            </w:r>
          </w:p>
        </w:tc>
        <w:tc>
          <w:tcPr>
            <w:tcW w:w="529" w:type="pct"/>
            <w:tcBorders>
              <w:top w:val="single" w:sz="4" w:space="0" w:color="auto"/>
              <w:left w:val="nil"/>
              <w:bottom w:val="single" w:sz="4" w:space="0" w:color="auto"/>
              <w:right w:val="single" w:sz="4" w:space="0" w:color="auto"/>
            </w:tcBorders>
            <w:shd w:val="clear" w:color="auto" w:fill="C0C0C0"/>
            <w:vAlign w:val="center"/>
          </w:tcPr>
          <w:p w:rsidR="006F0BD6" w:rsidRPr="00052737" w:rsidRDefault="006F0BD6" w:rsidP="007942D3">
            <w:pPr>
              <w:widowControl/>
              <w:jc w:val="center"/>
              <w:rPr>
                <w:rFonts w:asciiTheme="minorEastAsia" w:eastAsiaTheme="minorEastAsia" w:hAnsiTheme="minorEastAsia" w:cs="宋体"/>
                <w:b/>
                <w:bCs/>
                <w:kern w:val="0"/>
                <w:sz w:val="18"/>
                <w:szCs w:val="18"/>
              </w:rPr>
            </w:pPr>
            <w:r w:rsidRPr="00052737">
              <w:rPr>
                <w:rFonts w:asciiTheme="minorEastAsia" w:eastAsiaTheme="minorEastAsia" w:hAnsiTheme="minorEastAsia" w:cs="宋体" w:hint="eastAsia"/>
                <w:b/>
                <w:bCs/>
                <w:kern w:val="0"/>
                <w:sz w:val="18"/>
                <w:szCs w:val="18"/>
              </w:rPr>
              <w:t>折价率</w:t>
            </w:r>
          </w:p>
        </w:tc>
        <w:tc>
          <w:tcPr>
            <w:tcW w:w="655" w:type="pct"/>
            <w:tcBorders>
              <w:top w:val="single" w:sz="4" w:space="0" w:color="auto"/>
              <w:left w:val="nil"/>
              <w:bottom w:val="single" w:sz="4" w:space="0" w:color="auto"/>
              <w:right w:val="single" w:sz="4" w:space="0" w:color="auto"/>
            </w:tcBorders>
            <w:shd w:val="clear" w:color="auto" w:fill="C0C0C0"/>
            <w:vAlign w:val="center"/>
          </w:tcPr>
          <w:p w:rsidR="006F0BD6" w:rsidRPr="00052737" w:rsidRDefault="006F0BD6" w:rsidP="007942D3">
            <w:pPr>
              <w:widowControl/>
              <w:jc w:val="center"/>
              <w:rPr>
                <w:rFonts w:asciiTheme="minorEastAsia" w:eastAsiaTheme="minorEastAsia" w:hAnsiTheme="minorEastAsia" w:cs="宋体"/>
                <w:b/>
                <w:bCs/>
                <w:kern w:val="0"/>
                <w:sz w:val="18"/>
                <w:szCs w:val="18"/>
              </w:rPr>
            </w:pPr>
            <w:r w:rsidRPr="00052737">
              <w:rPr>
                <w:rFonts w:asciiTheme="minorEastAsia" w:eastAsiaTheme="minorEastAsia" w:hAnsiTheme="minorEastAsia" w:cs="宋体" w:hint="eastAsia"/>
                <w:b/>
                <w:bCs/>
                <w:kern w:val="0"/>
                <w:sz w:val="18"/>
                <w:szCs w:val="18"/>
              </w:rPr>
              <w:t>期间收益率</w:t>
            </w:r>
          </w:p>
        </w:tc>
        <w:tc>
          <w:tcPr>
            <w:tcW w:w="537" w:type="pct"/>
            <w:tcBorders>
              <w:top w:val="single" w:sz="4" w:space="0" w:color="auto"/>
              <w:left w:val="nil"/>
              <w:bottom w:val="single" w:sz="4" w:space="0" w:color="auto"/>
              <w:right w:val="single" w:sz="4" w:space="0" w:color="auto"/>
            </w:tcBorders>
            <w:shd w:val="clear" w:color="auto" w:fill="C0C0C0"/>
            <w:vAlign w:val="center"/>
          </w:tcPr>
          <w:p w:rsidR="006F0BD6" w:rsidRPr="00052737" w:rsidRDefault="006F0BD6" w:rsidP="007942D3">
            <w:pPr>
              <w:widowControl/>
              <w:jc w:val="center"/>
              <w:rPr>
                <w:rFonts w:asciiTheme="minorEastAsia" w:eastAsiaTheme="minorEastAsia" w:hAnsiTheme="minorEastAsia" w:cs="宋体"/>
                <w:b/>
                <w:bCs/>
                <w:kern w:val="0"/>
                <w:sz w:val="18"/>
                <w:szCs w:val="18"/>
              </w:rPr>
            </w:pPr>
            <w:r w:rsidRPr="00052737">
              <w:rPr>
                <w:rFonts w:asciiTheme="minorEastAsia" w:eastAsiaTheme="minorEastAsia" w:hAnsiTheme="minorEastAsia" w:cs="宋体" w:hint="eastAsia"/>
                <w:b/>
                <w:bCs/>
                <w:kern w:val="0"/>
                <w:sz w:val="18"/>
                <w:szCs w:val="18"/>
              </w:rPr>
              <w:t>期间价格变动</w:t>
            </w:r>
          </w:p>
        </w:tc>
        <w:tc>
          <w:tcPr>
            <w:tcW w:w="698" w:type="pct"/>
            <w:tcBorders>
              <w:top w:val="single" w:sz="4" w:space="0" w:color="auto"/>
              <w:left w:val="nil"/>
              <w:bottom w:val="single" w:sz="4" w:space="0" w:color="auto"/>
              <w:right w:val="single" w:sz="4" w:space="0" w:color="auto"/>
            </w:tcBorders>
            <w:shd w:val="clear" w:color="auto" w:fill="C0C0C0"/>
            <w:vAlign w:val="center"/>
          </w:tcPr>
          <w:p w:rsidR="006F0BD6" w:rsidRPr="00052737" w:rsidRDefault="006F0BD6" w:rsidP="007942D3">
            <w:pPr>
              <w:widowControl/>
              <w:jc w:val="center"/>
              <w:rPr>
                <w:rFonts w:asciiTheme="minorEastAsia" w:eastAsiaTheme="minorEastAsia" w:hAnsiTheme="minorEastAsia" w:cs="宋体"/>
                <w:b/>
                <w:bCs/>
                <w:kern w:val="0"/>
                <w:sz w:val="18"/>
                <w:szCs w:val="18"/>
              </w:rPr>
            </w:pPr>
            <w:r w:rsidRPr="00052737">
              <w:rPr>
                <w:rFonts w:asciiTheme="minorEastAsia" w:eastAsiaTheme="minorEastAsia" w:hAnsiTheme="minorEastAsia" w:cs="宋体" w:hint="eastAsia"/>
                <w:b/>
                <w:bCs/>
                <w:kern w:val="0"/>
                <w:sz w:val="18"/>
                <w:szCs w:val="18"/>
              </w:rPr>
              <w:t>济安评级</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建</w:t>
            </w:r>
            <w:proofErr w:type="gramStart"/>
            <w:r w:rsidRPr="00052737">
              <w:rPr>
                <w:rFonts w:asciiTheme="minorEastAsia" w:eastAsiaTheme="minorEastAsia" w:hAnsiTheme="minorEastAsia" w:hint="eastAsia"/>
                <w:color w:val="000000"/>
                <w:sz w:val="18"/>
                <w:szCs w:val="18"/>
              </w:rPr>
              <w:t>信优势</w:t>
            </w:r>
            <w:proofErr w:type="gramEnd"/>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150003</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0.8400</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0.819</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2.50%</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3.19%</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4.07%</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基金开元</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184688</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0.8191</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0.781</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4.65%</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2.02%</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-1.26%</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lastRenderedPageBreak/>
              <w:t>基金普惠</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184689</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0.8778</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0.818</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6.81%</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2.67%</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2.25%</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基金同益</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184690</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0.7993</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0.734</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8.17%</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3.30%</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2.37%</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基金景宏</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184691</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0.8111</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0.735</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9.38%</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2.96%</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2.23%</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基金裕隆</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184692</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0.8949</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0.814</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9.04%</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4.17%</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4.23%</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基金普丰</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184693</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0.7899</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0.706</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10.62%</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3.57%</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3.52%</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基金天元</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184698</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0.7979</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0.713</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10.64%</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2.33%</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2.44%</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基金同盛</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184699</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0.9609</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0.863</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10.19%</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1.82%</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2.98%</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基金景福</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184701</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0.8674</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0.771</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11.11%</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2.60%</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1.58%</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基金丰和</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184721</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0.8524</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0.725</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14.95%</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3.46%</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5.84%</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proofErr w:type="gramStart"/>
            <w:r w:rsidRPr="00052737">
              <w:rPr>
                <w:rFonts w:asciiTheme="minorEastAsia" w:eastAsiaTheme="minorEastAsia" w:hAnsiTheme="minorEastAsia" w:hint="eastAsia"/>
                <w:color w:val="000000"/>
                <w:sz w:val="18"/>
                <w:szCs w:val="18"/>
              </w:rPr>
              <w:t>基金久嘉</w:t>
            </w:r>
            <w:proofErr w:type="gramEnd"/>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184722</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0.7891</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0.650</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17.63%</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3.84%</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6.04%</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proofErr w:type="gramStart"/>
            <w:r w:rsidRPr="00052737">
              <w:rPr>
                <w:rFonts w:asciiTheme="minorEastAsia" w:eastAsiaTheme="minorEastAsia" w:hAnsiTheme="minorEastAsia" w:hint="eastAsia"/>
                <w:color w:val="000000"/>
                <w:sz w:val="18"/>
                <w:szCs w:val="18"/>
              </w:rPr>
              <w:t>基金鸿阳</w:t>
            </w:r>
            <w:proofErr w:type="gramEnd"/>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184728</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0.6197</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0.509</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17.86%</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4.06%</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7.16%</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w:t>
            </w:r>
            <w:proofErr w:type="gramStart"/>
            <w:r w:rsidRPr="00052737">
              <w:rPr>
                <w:rFonts w:asciiTheme="minorEastAsia" w:eastAsiaTheme="minorEastAsia" w:hAnsiTheme="minorEastAsia" w:hint="eastAsia"/>
                <w:color w:val="000000"/>
                <w:sz w:val="18"/>
                <w:szCs w:val="18"/>
              </w:rPr>
              <w:t>金</w:t>
            </w:r>
            <w:proofErr w:type="gramEnd"/>
            <w:r w:rsidRPr="00052737">
              <w:rPr>
                <w:rFonts w:asciiTheme="minorEastAsia" w:eastAsiaTheme="minorEastAsia" w:hAnsiTheme="minorEastAsia" w:hint="eastAsia"/>
                <w:color w:val="000000"/>
                <w:sz w:val="18"/>
                <w:szCs w:val="18"/>
              </w:rPr>
              <w:t>泰</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500001</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0.9148</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0.894</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2.27%</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0.02%</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-0.22%</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基金泰和</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500002</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0.9358</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0.876</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6.39%</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2.07%</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3.06%</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基金安信</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500003</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0.8878</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0.845</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4.82%</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2.70%</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2.05%</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基金汉盛</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500005</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1.0158</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0.914</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10.02%</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3.45%</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1.22%</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基金裕阳</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500006</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0.7895</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0.755</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4.37%</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2.13%</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2.58%</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基金兴华</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500008</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0.8531</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0.819</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4.00%</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3.63%</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1.99%</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278"/>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基金安顺</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500009</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0.9211</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0.845</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8.26%</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3.54%</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-0.12%</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基金金鑫</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500011</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0.9478</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0.845</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10.85%</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3.29%</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4.32%</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基金汉兴</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500015</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0.8606</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0.755</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12.27%</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3.69%</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3.00%</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基金兴和</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500018</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0.8601</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0.778</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9.55%</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3.32%</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3.87%</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proofErr w:type="gramStart"/>
            <w:r w:rsidRPr="00052737">
              <w:rPr>
                <w:rFonts w:asciiTheme="minorEastAsia" w:eastAsiaTheme="minorEastAsia" w:hAnsiTheme="minorEastAsia" w:hint="eastAsia"/>
                <w:color w:val="000000"/>
                <w:sz w:val="18"/>
                <w:szCs w:val="18"/>
              </w:rPr>
              <w:t>基金通乾</w:t>
            </w:r>
            <w:proofErr w:type="gramEnd"/>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500038</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0.9511</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0.804</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15.47%</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2.59%</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4.01%</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基金科瑞</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500056</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0.8596</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0.722</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16.01%</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1.40%</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4.34%</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CA3C69"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基金银丰</w:t>
            </w:r>
          </w:p>
        </w:tc>
        <w:tc>
          <w:tcPr>
            <w:tcW w:w="597"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500058</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0.7800</w:t>
            </w:r>
          </w:p>
        </w:tc>
        <w:tc>
          <w:tcPr>
            <w:tcW w:w="680"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0.649</w:t>
            </w:r>
          </w:p>
        </w:tc>
        <w:tc>
          <w:tcPr>
            <w:tcW w:w="529"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16.79%</w:t>
            </w:r>
          </w:p>
        </w:tc>
        <w:tc>
          <w:tcPr>
            <w:tcW w:w="655"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1.17%</w:t>
            </w:r>
          </w:p>
        </w:tc>
        <w:tc>
          <w:tcPr>
            <w:tcW w:w="537" w:type="pct"/>
            <w:tcBorders>
              <w:top w:val="nil"/>
              <w:left w:val="nil"/>
              <w:bottom w:val="single" w:sz="4" w:space="0" w:color="auto"/>
              <w:right w:val="single" w:sz="4" w:space="0" w:color="auto"/>
            </w:tcBorders>
            <w:vAlign w:val="center"/>
          </w:tcPr>
          <w:p w:rsidR="00CA3C69" w:rsidRPr="00CA3C69" w:rsidRDefault="00CA3C69" w:rsidP="00CA3C69">
            <w:pPr>
              <w:jc w:val="center"/>
              <w:rPr>
                <w:rFonts w:asciiTheme="minorEastAsia" w:eastAsiaTheme="minorEastAsia" w:hAnsiTheme="minorEastAsia"/>
                <w:color w:val="000000"/>
                <w:sz w:val="18"/>
                <w:szCs w:val="18"/>
              </w:rPr>
            </w:pPr>
            <w:r w:rsidRPr="00CA3C69">
              <w:rPr>
                <w:rFonts w:asciiTheme="minorEastAsia" w:eastAsiaTheme="minorEastAsia" w:hAnsiTheme="minorEastAsia" w:hint="eastAsia"/>
                <w:color w:val="000000"/>
                <w:sz w:val="18"/>
                <w:szCs w:val="18"/>
              </w:rPr>
              <w:t>5.53%</w:t>
            </w:r>
          </w:p>
        </w:tc>
        <w:tc>
          <w:tcPr>
            <w:tcW w:w="698" w:type="pct"/>
            <w:tcBorders>
              <w:top w:val="nil"/>
              <w:left w:val="nil"/>
              <w:bottom w:val="single" w:sz="4" w:space="0" w:color="auto"/>
              <w:right w:val="single" w:sz="4" w:space="0" w:color="auto"/>
            </w:tcBorders>
            <w:vAlign w:val="center"/>
          </w:tcPr>
          <w:p w:rsidR="00CA3C69" w:rsidRPr="00052737" w:rsidRDefault="00CA3C69">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bl>
    <w:p w:rsidR="006F0BD6" w:rsidRDefault="009179E2" w:rsidP="006F0BD6">
      <w:r>
        <w:rPr>
          <w:rFonts w:hint="eastAsia"/>
        </w:rPr>
        <w:t>资料来源：</w:t>
      </w:r>
      <w:r w:rsidR="006F0BD6">
        <w:rPr>
          <w:rFonts w:hint="eastAsia"/>
        </w:rPr>
        <w:t>济安金信基金综合评价系统（计算日期：</w:t>
      </w:r>
      <w:r w:rsidR="006F0BD6">
        <w:rPr>
          <w:rFonts w:ascii="宋体" w:hAnsi="宋体" w:hint="eastAsia"/>
        </w:rPr>
        <w:t>201</w:t>
      </w:r>
      <w:r w:rsidR="00753B8C">
        <w:rPr>
          <w:rFonts w:ascii="宋体" w:hAnsi="宋体" w:hint="eastAsia"/>
        </w:rPr>
        <w:t>2</w:t>
      </w:r>
      <w:r w:rsidR="006F0BD6">
        <w:rPr>
          <w:rFonts w:ascii="宋体" w:hAnsi="宋体" w:hint="eastAsia"/>
        </w:rPr>
        <w:t>-</w:t>
      </w:r>
      <w:r w:rsidR="002F4110">
        <w:rPr>
          <w:rFonts w:ascii="宋体" w:hAnsi="宋体" w:hint="eastAsia"/>
        </w:rPr>
        <w:t>1</w:t>
      </w:r>
      <w:r w:rsidR="00CA3C69">
        <w:rPr>
          <w:rFonts w:ascii="宋体" w:hAnsi="宋体" w:hint="eastAsia"/>
        </w:rPr>
        <w:t>2</w:t>
      </w:r>
      <w:r w:rsidR="006F0BD6">
        <w:rPr>
          <w:rFonts w:ascii="宋体" w:hAnsi="宋体" w:hint="eastAsia"/>
        </w:rPr>
        <w:t>-</w:t>
      </w:r>
      <w:r w:rsidR="00CA3C69">
        <w:rPr>
          <w:rFonts w:ascii="宋体" w:hAnsi="宋体" w:hint="eastAsia"/>
        </w:rPr>
        <w:t>07</w:t>
      </w:r>
      <w:r w:rsidR="006F0BD6">
        <w:rPr>
          <w:rFonts w:hint="eastAsia"/>
        </w:rPr>
        <w:t>）</w:t>
      </w:r>
    </w:p>
    <w:p w:rsidR="006F0BD6" w:rsidRDefault="006F0BD6" w:rsidP="006F0BD6">
      <w:r>
        <w:rPr>
          <w:rFonts w:hint="eastAsia"/>
        </w:rPr>
        <w:t>注释：</w:t>
      </w:r>
      <w:r w:rsidR="002F4110" w:rsidRPr="002F4110">
        <w:rPr>
          <w:rFonts w:asciiTheme="minorEastAsia" w:eastAsiaTheme="minorEastAsia" w:hAnsiTheme="minorEastAsia" w:hint="eastAsia"/>
        </w:rPr>
        <w:t>20</w:t>
      </w:r>
      <w:r w:rsidRPr="002F4110">
        <w:rPr>
          <w:rFonts w:asciiTheme="minorEastAsia" w:eastAsiaTheme="minorEastAsia" w:hAnsiTheme="minorEastAsia" w:hint="eastAsia"/>
        </w:rPr>
        <w:t>1</w:t>
      </w:r>
      <w:r w:rsidR="0009244F" w:rsidRPr="002F4110">
        <w:rPr>
          <w:rFonts w:asciiTheme="minorEastAsia" w:eastAsiaTheme="minorEastAsia" w:hAnsiTheme="minorEastAsia" w:hint="eastAsia"/>
        </w:rPr>
        <w:t>2</w:t>
      </w:r>
      <w:r w:rsidR="005A6DBF" w:rsidRPr="0009244F">
        <w:rPr>
          <w:rFonts w:ascii="宋体" w:hAnsi="宋体" w:hint="eastAsia"/>
        </w:rPr>
        <w:t>年</w:t>
      </w:r>
      <w:r w:rsidR="00DB00CE">
        <w:rPr>
          <w:rFonts w:ascii="宋体" w:hAnsi="宋体" w:hint="eastAsia"/>
        </w:rPr>
        <w:t>三</w:t>
      </w:r>
      <w:r w:rsidRPr="0009244F">
        <w:rPr>
          <w:rFonts w:ascii="宋体" w:hAnsi="宋体" w:hint="eastAsia"/>
        </w:rPr>
        <w:t>季度</w:t>
      </w:r>
      <w:r>
        <w:rPr>
          <w:rFonts w:hint="eastAsia"/>
        </w:rPr>
        <w:t>的基金综合评价结果</w:t>
      </w:r>
    </w:p>
    <w:p w:rsidR="00645A28" w:rsidRDefault="00645A28" w:rsidP="003108A9">
      <w:pPr>
        <w:tabs>
          <w:tab w:val="left" w:pos="635"/>
        </w:tabs>
      </w:pPr>
    </w:p>
    <w:p w:rsidR="00506185" w:rsidRPr="00506185" w:rsidRDefault="00506185" w:rsidP="00755FBD">
      <w:pPr>
        <w:tabs>
          <w:tab w:val="left" w:pos="635"/>
        </w:tabs>
        <w:rPr>
          <w:rFonts w:ascii="宋体" w:hAnsi="宋体"/>
        </w:rPr>
      </w:pPr>
    </w:p>
    <w:p w:rsidR="006F0BD6" w:rsidRDefault="009179E2" w:rsidP="006F0BD6">
      <w:pPr>
        <w:rPr>
          <w:b/>
        </w:rPr>
      </w:pPr>
      <w:r>
        <w:rPr>
          <w:rFonts w:hint="eastAsia"/>
          <w:b/>
        </w:rPr>
        <w:t>附录：</w:t>
      </w:r>
      <w:r w:rsidR="006F0BD6">
        <w:rPr>
          <w:rFonts w:hint="eastAsia"/>
          <w:b/>
        </w:rPr>
        <w:t>济安金信封闭式基金分类说明</w:t>
      </w:r>
    </w:p>
    <w:p w:rsidR="006F0BD6" w:rsidRDefault="006F0BD6" w:rsidP="006F0BD6"/>
    <w:p w:rsidR="006F0BD6" w:rsidRDefault="006F0BD6" w:rsidP="006F0BD6">
      <w:pPr>
        <w:ind w:firstLineChars="200" w:firstLine="400"/>
        <w:rPr>
          <w:rFonts w:ascii="宋体" w:hAnsi="宋体"/>
          <w:szCs w:val="21"/>
        </w:rPr>
      </w:pPr>
      <w:r>
        <w:rPr>
          <w:rFonts w:ascii="宋体" w:hAnsi="宋体" w:hint="eastAsia"/>
          <w:szCs w:val="21"/>
        </w:rPr>
        <w:t>按照基金行业的相关规定，目前国内市场上的基金品种按照大类可以分为：货币型、债券型、股票型、混合型、封闭式、指数型以及QDII基金。各个机构在这一基本分类的基础上，又依据不同的评价标准和原则，对基金进行了二次分类。各个机构在对基金进行细分时大致采取两种方式，一类是机构在遵守相关规定的前提下，依据基金招募书的相关内容进行二次细分，这一类可以叫做事前分类。还有一类就是机构根据基金发布的季报或是年报所公布的资产配置情况来进行二次细分。这一类可以叫做事中（后）分类。</w:t>
      </w:r>
    </w:p>
    <w:p w:rsidR="006F0BD6" w:rsidRDefault="006F0BD6" w:rsidP="006F0BD6">
      <w:pPr>
        <w:ind w:firstLineChars="200" w:firstLine="400"/>
        <w:rPr>
          <w:rFonts w:ascii="宋体" w:hAnsi="宋体"/>
          <w:szCs w:val="21"/>
        </w:rPr>
      </w:pPr>
    </w:p>
    <w:p w:rsidR="00790CA6" w:rsidRPr="00A52312" w:rsidRDefault="006F0BD6" w:rsidP="00A52312">
      <w:pPr>
        <w:ind w:firstLineChars="200" w:firstLine="400"/>
        <w:rPr>
          <w:rFonts w:ascii="宋体" w:hAnsi="宋体"/>
          <w:szCs w:val="21"/>
        </w:rPr>
      </w:pPr>
      <w:r>
        <w:rPr>
          <w:rFonts w:ascii="宋体" w:hAnsi="宋体" w:hint="eastAsia"/>
          <w:szCs w:val="21"/>
        </w:rPr>
        <w:t>济安金信基金评价中心采用的是事前分类方法。具体来说，济安金信基金评价中心的九类基金中，封闭式基金是指按照相关规定，采用封闭式运作方式的基金，这类基金经核准的基金</w:t>
      </w:r>
      <w:r>
        <w:rPr>
          <w:rFonts w:ascii="宋体" w:hAnsi="宋体" w:hint="eastAsia"/>
          <w:szCs w:val="21"/>
        </w:rPr>
        <w:lastRenderedPageBreak/>
        <w:t>份额总额在基金合同期限内固定不变，基金份额可以在依法设立的证券交易场所交易，但基金份额持有人不得申请赎回的基金。封闭式基金又分《证券投资基金运作管理办法》实施前成立的老封基和创新型封基两种。创新类封闭式基金中，仅有针对折价率有“救生艇条款”的基金，济安金信将其归入到封闭式基金。对于有锁定期的、分级的、以固定收益类为主要投资对象的，投资管理方式与开放式基金极为相似的创新性封闭式基金，我们则根据此类基金的具体的投资范围、投资标的，按照开放式基金进行分类。因此，在封闭式基金的具体细分中，济安金信的分类方法与其他的评级机构或研究基金是有所不同的。</w:t>
      </w:r>
      <w:r w:rsidR="00A52312">
        <w:rPr>
          <w:rFonts w:hint="eastAsia"/>
        </w:rPr>
        <w:t xml:space="preserve"> </w:t>
      </w:r>
    </w:p>
    <w:p w:rsidR="00790CA6" w:rsidRPr="006F0BD6" w:rsidRDefault="00790CA6" w:rsidP="00107A83">
      <w:pPr>
        <w:rPr>
          <w:rFonts w:ascii="宋体" w:hAnsi="宋体"/>
          <w:szCs w:val="21"/>
        </w:rPr>
      </w:pPr>
    </w:p>
    <w:sectPr w:rsidR="00790CA6" w:rsidRPr="006F0BD6" w:rsidSect="00F060F6">
      <w:headerReference w:type="even" r:id="rId7"/>
      <w:headerReference w:type="default" r:id="rId8"/>
      <w:footerReference w:type="default" r:id="rId9"/>
      <w:headerReference w:type="first" r:id="rId10"/>
      <w:footerReference w:type="first" r:id="rId11"/>
      <w:pgSz w:w="11906" w:h="16838" w:code="9"/>
      <w:pgMar w:top="1440" w:right="1797" w:bottom="1440" w:left="1797" w:header="851" w:footer="0" w:gutter="0"/>
      <w:cols w:space="425"/>
      <w:titlePg/>
      <w:docGrid w:type="linesAndChars" w:linePitch="348"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1FA" w:rsidRDefault="00B411FA">
      <w:r>
        <w:separator/>
      </w:r>
    </w:p>
  </w:endnote>
  <w:endnote w:type="continuationSeparator" w:id="0">
    <w:p w:rsidR="00B411FA" w:rsidRDefault="00B411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6DF" w:rsidRPr="00A76699" w:rsidRDefault="00DC169A" w:rsidP="00822D0D">
    <w:pPr>
      <w:pStyle w:val="a4"/>
      <w:tabs>
        <w:tab w:val="clear" w:pos="8306"/>
      </w:tabs>
      <w:ind w:leftChars="-771" w:left="-1619" w:rightChars="-841" w:right="-1766"/>
    </w:pPr>
    <w:r>
      <w:rPr>
        <w:noProof/>
      </w:rPr>
      <w:pict>
        <v:shapetype id="_x0000_t202" coordsize="21600,21600" o:spt="202" path="m,l,21600r21600,l21600,xe">
          <v:stroke joinstyle="miter"/>
          <v:path gradientshapeok="t" o:connecttype="rect"/>
        </v:shapetype>
        <v:shape id="_x0000_s2071" type="#_x0000_t202" style="position:absolute;left:0;text-align:left;margin-left:-34.35pt;margin-top:-60.5pt;width:521.75pt;height:63.4pt;z-index:251660800" fillcolor="#4f81bd" strokecolor="#bce1c0" strokeweight="1pt">
          <v:fill color2="#243f60" angle="-135" focus="100%" type="gradient"/>
          <v:shadow on="t" type="perspective" color="#b8cce4" opacity=".5" origin=",.5" offset="0,0" matrix=",-56756f,,.5"/>
          <v:textbox>
            <w:txbxContent>
              <w:p w:rsidR="00107A83" w:rsidRPr="00A76699" w:rsidRDefault="00107A83" w:rsidP="00107A83">
                <w:pPr>
                  <w:rPr>
                    <w:color w:val="EAEAEA"/>
                  </w:rPr>
                </w:pPr>
                <w:r w:rsidRPr="00A76699">
                  <w:rPr>
                    <w:rFonts w:hint="eastAsia"/>
                    <w:b/>
                    <w:color w:val="EAEAEA"/>
                  </w:rPr>
                  <w:t>【免责声明】报告中的信息均来</w:t>
                </w:r>
                <w:r w:rsidR="00DE6A85">
                  <w:rPr>
                    <w:rFonts w:hint="eastAsia"/>
                    <w:b/>
                    <w:color w:val="EAEAEA"/>
                  </w:rPr>
                  <w:t>源于公开市场，我公司不保证这些信息的准确和完整。报告中的信息或</w:t>
                </w:r>
                <w:r w:rsidRPr="00A76699">
                  <w:rPr>
                    <w:rFonts w:hint="eastAsia"/>
                    <w:b/>
                    <w:color w:val="EAEAEA"/>
                  </w:rPr>
                  <w:t>所表达的意见并不构成买卖任何证券的依据，投资者依此入市，风险自负。基金的历史绩效只代表以往运作的实际管理能力，据此进行的各种分析不代表任何对基金未来市场表现得承诺和暗示。</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6DF" w:rsidRDefault="00DC169A" w:rsidP="009D67E6">
    <w:pPr>
      <w:pStyle w:val="a4"/>
      <w:ind w:leftChars="-771" w:left="-1619"/>
    </w:pPr>
    <w:r>
      <w:rPr>
        <w:noProof/>
      </w:rPr>
      <w:pict>
        <v:shapetype id="_x0000_t202" coordsize="21600,21600" o:spt="202" path="m,l,21600r21600,l21600,xe">
          <v:stroke joinstyle="miter"/>
          <v:path gradientshapeok="t" o:connecttype="rect"/>
        </v:shapetype>
        <v:shape id="_x0000_s2070" type="#_x0000_t202" style="position:absolute;left:0;text-align:left;margin-left:-46.35pt;margin-top:-61.05pt;width:521.75pt;height:63.4pt;z-index:251659776" fillcolor="#4f81bd" strokecolor="#bce1c0" strokeweight="1pt">
          <v:fill color2="#243f60" angle="-135" focus="100%" type="gradient"/>
          <v:shadow on="t" type="perspective" color="#b8cce4" opacity=".5" origin=",.5" offset="0,0" matrix=",-56756f,,.5"/>
          <v:textbox>
            <w:txbxContent>
              <w:p w:rsidR="00A76699" w:rsidRPr="00A76699" w:rsidRDefault="00A76699">
                <w:pPr>
                  <w:rPr>
                    <w:color w:val="EAEAEA"/>
                  </w:rPr>
                </w:pPr>
                <w:r w:rsidRPr="00A76699">
                  <w:rPr>
                    <w:rFonts w:hint="eastAsia"/>
                    <w:b/>
                    <w:color w:val="EAEAEA"/>
                  </w:rPr>
                  <w:t>【免责声明】报告中的信息均来</w:t>
                </w:r>
                <w:r w:rsidR="00DE6A85">
                  <w:rPr>
                    <w:rFonts w:hint="eastAsia"/>
                    <w:b/>
                    <w:color w:val="EAEAEA"/>
                  </w:rPr>
                  <w:t>源于公开市场，我公司不保证这些信息的准确和完整。报告中的信息或</w:t>
                </w:r>
                <w:r w:rsidRPr="00A76699">
                  <w:rPr>
                    <w:rFonts w:hint="eastAsia"/>
                    <w:b/>
                    <w:color w:val="EAEAEA"/>
                  </w:rPr>
                  <w:t>所表达的意见并不构成买卖任何证券的依据，投资者依此入市，风险自负。基金的历史绩效只代表以往运作的实际管理能力，据此进行的各种分析不代表任何对基金未来市场表现得承诺和暗示。</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1FA" w:rsidRDefault="00B411FA">
      <w:r>
        <w:separator/>
      </w:r>
    </w:p>
  </w:footnote>
  <w:footnote w:type="continuationSeparator" w:id="0">
    <w:p w:rsidR="00B411FA" w:rsidRDefault="00B411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6DF" w:rsidRDefault="00DC169A">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6547" o:spid="_x0000_s2050" type="#_x0000_t136" style="position:absolute;left:0;text-align:left;margin-left:0;margin-top:0;width:468.75pt;height:117.15pt;rotation:315;z-index:-251660800;mso-position-horizontal:center;mso-position-horizontal-relative:margin;mso-position-vertical:center;mso-position-vertical-relative:margin" o:allowincell="f" fillcolor="silver" stroked="f">
          <v:fill opacity=".5"/>
          <v:textpath style="font-family:&quot;宋体&quot;;font-size:1pt" string="济安金信"/>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6DF" w:rsidRDefault="00DC169A" w:rsidP="001247A3">
    <w:pPr>
      <w:pStyle w:val="a3"/>
      <w:tabs>
        <w:tab w:val="clear" w:pos="4153"/>
        <w:tab w:val="clear" w:pos="8306"/>
        <w:tab w:val="left" w:pos="-1440"/>
      </w:tabs>
      <w:ind w:rightChars="186" w:right="391"/>
      <w:jc w:val="left"/>
    </w:pPr>
    <w:r>
      <w:rPr>
        <w:noProof/>
      </w:rPr>
      <w:pict>
        <v:shapetype id="_x0000_t202" coordsize="21600,21600" o:spt="202" path="m,l,21600r21600,l21600,xe">
          <v:stroke joinstyle="miter"/>
          <v:path gradientshapeok="t" o:connecttype="rect"/>
        </v:shapetype>
        <v:shape id="_x0000_s2064" type="#_x0000_t202" style="position:absolute;margin-left:-6.75pt;margin-top:51.9pt;width:601.5pt;height:18.05pt;z-index:251658752;mso-position-horizontal-relative:page;mso-position-vertical-relative:page;mso-width-relative:margin;v-text-anchor:middle" o:allowincell="f" fillcolor="#1f497d" stroked="f" strokecolor="#92d050">
          <v:fill color2="fill lighten(0)" rotate="t" angle="-90" method="linear sigma" focus="100%" type="gradient"/>
          <v:textbox style="mso-next-textbox:#_x0000_s2064" inset=",0,,0">
            <w:txbxContent>
              <w:p w:rsidR="006606DF" w:rsidRPr="003B5D37" w:rsidRDefault="006606DF">
                <w:pPr>
                  <w:rPr>
                    <w:color w:val="FFFFFF"/>
                  </w:rPr>
                </w:pPr>
                <w:r w:rsidRPr="003B5D37">
                  <w:rPr>
                    <w:rFonts w:hint="eastAsia"/>
                    <w:color w:val="FFFFFF"/>
                    <w:sz w:val="28"/>
                    <w:szCs w:val="28"/>
                  </w:rPr>
                  <w:t>济安金信</w:t>
                </w:r>
                <w:r w:rsidR="00A76699">
                  <w:rPr>
                    <w:rFonts w:hint="eastAsia"/>
                    <w:color w:val="FFFFFF"/>
                    <w:sz w:val="28"/>
                    <w:szCs w:val="28"/>
                  </w:rPr>
                  <w:t>封闭式基金周报</w:t>
                </w:r>
              </w:p>
            </w:txbxContent>
          </v:textbox>
          <w10:wrap anchorx="margin" anchory="margin"/>
        </v:shape>
      </w:pict>
    </w:r>
    <w:r>
      <w:rPr>
        <w:noProof/>
      </w:rPr>
      <w:pict>
        <v:shape id="_x0000_s2063" type="#_x0000_t202" style="position:absolute;margin-left:0;margin-top:29.95pt;width:89.85pt;height:12.05pt;z-index:251657728;mso-width-percent:1000;mso-position-horizontal-relative:page;mso-position-vertical-relative:page;mso-width-percent:1000;mso-width-relative:left-margin-area;v-text-anchor:middle" o:allowincell="f" fillcolor="#4f81bd" stroked="f">
          <v:textbox style="mso-fit-shape-to-text:t" inset=",0,,0">
            <w:txbxContent>
              <w:p w:rsidR="006606DF" w:rsidRPr="00E367F5" w:rsidRDefault="00DC169A">
                <w:pPr>
                  <w:jc w:val="right"/>
                  <w:rPr>
                    <w:color w:val="FFFFFF"/>
                  </w:rPr>
                </w:pPr>
                <w:fldSimple w:instr=" PAGE   \* MERGEFORMAT ">
                  <w:r w:rsidR="006F7B48" w:rsidRPr="006F7B48">
                    <w:rPr>
                      <w:noProof/>
                      <w:color w:val="FFFFFF"/>
                      <w:lang w:val="zh-CN"/>
                    </w:rPr>
                    <w:t>2</w:t>
                  </w:r>
                </w:fldSimple>
              </w:p>
            </w:txbxContent>
          </v:textbox>
          <w10:wrap anchorx="page" anchory="margin"/>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6548" o:spid="_x0000_s2051" type="#_x0000_t136" style="position:absolute;margin-left:0;margin-top:0;width:468.75pt;height:117.15pt;rotation:315;z-index:-251659776;mso-position-horizontal:center;mso-position-horizontal-relative:margin;mso-position-vertical:center;mso-position-vertical-relative:margin" o:allowincell="f" fillcolor="silver" stroked="f">
          <v:fill opacity=".5"/>
          <v:textpath style="font-family:&quot;宋体&quot;;font-size:1pt" string="济安金信"/>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6DF" w:rsidRDefault="00DC169A" w:rsidP="009D67E6">
    <w:pPr>
      <w:pStyle w:val="a3"/>
      <w:ind w:leftChars="-600" w:left="-1260"/>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6546" o:spid="_x0000_s2049" type="#_x0000_t136" style="position:absolute;left:0;text-align:left;margin-left:0;margin-top:0;width:468.75pt;height:117.15pt;rotation:315;z-index:-251661824;mso-position-horizontal:center;mso-position-horizontal-relative:margin;mso-position-vertical:center;mso-position-vertical-relative:margin" o:allowincell="f" fillcolor="silver" stroked="f">
          <v:fill opacity=".5"/>
          <v:textpath style="font-family:&quot;宋体&quot;;font-size:1pt" string="济安金信"/>
          <w10:wrap anchorx="margin" anchory="margin"/>
        </v:shape>
      </w:pict>
    </w:r>
    <w:r w:rsidR="00A5172C">
      <w:rPr>
        <w:noProof/>
      </w:rPr>
      <w:drawing>
        <wp:inline distT="0" distB="0" distL="0" distR="0">
          <wp:extent cx="1600200" cy="542925"/>
          <wp:effectExtent l="19050" t="0" r="0" b="0"/>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
                  <pic:cNvPicPr>
                    <a:picLocks noChangeAspect="1" noChangeArrowheads="1"/>
                  </pic:cNvPicPr>
                </pic:nvPicPr>
                <pic:blipFill>
                  <a:blip r:embed="rId1"/>
                  <a:srcRect/>
                  <a:stretch>
                    <a:fillRect/>
                  </a:stretch>
                </pic:blipFill>
                <pic:spPr bwMode="auto">
                  <a:xfrm>
                    <a:off x="0" y="0"/>
                    <a:ext cx="1600200" cy="5429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96.25pt;height:267pt" o:bullet="t">
        <v:imagedata r:id="rId1" o:title="无标题-2"/>
      </v:shape>
    </w:pict>
  </w:numPicBullet>
  <w:abstractNum w:abstractNumId="0">
    <w:nsid w:val="0198581F"/>
    <w:multiLevelType w:val="multilevel"/>
    <w:tmpl w:val="5002CF5A"/>
    <w:lvl w:ilvl="0">
      <w:start w:val="1"/>
      <w:numFmt w:val="japaneseCounting"/>
      <w:lvlText w:val="%1、"/>
      <w:lvlJc w:val="left"/>
      <w:pPr>
        <w:tabs>
          <w:tab w:val="num" w:pos="420"/>
        </w:tabs>
        <w:ind w:left="420" w:hanging="420"/>
      </w:pPr>
      <w:rPr>
        <w:rFonts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08732E3"/>
    <w:multiLevelType w:val="hybridMultilevel"/>
    <w:tmpl w:val="83863944"/>
    <w:lvl w:ilvl="0" w:tplc="F3186B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48D4312"/>
    <w:multiLevelType w:val="multilevel"/>
    <w:tmpl w:val="BCA21B72"/>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3">
    <w:nsid w:val="3A7D01E8"/>
    <w:multiLevelType w:val="hybridMultilevel"/>
    <w:tmpl w:val="BCA21B72"/>
    <w:lvl w:ilvl="0" w:tplc="5B8EF2B8">
      <w:start w:val="1"/>
      <w:numFmt w:val="bullet"/>
      <w:lvlText w:val=""/>
      <w:lvlPicBulletId w:val="0"/>
      <w:lvlJc w:val="left"/>
      <w:pPr>
        <w:tabs>
          <w:tab w:val="num" w:pos="420"/>
        </w:tabs>
        <w:ind w:left="420" w:firstLine="0"/>
      </w:pPr>
      <w:rPr>
        <w:rFonts w:ascii="Symbol" w:hAnsi="Symbol" w:hint="default"/>
      </w:rPr>
    </w:lvl>
    <w:lvl w:ilvl="1" w:tplc="02164284" w:tentative="1">
      <w:start w:val="1"/>
      <w:numFmt w:val="bullet"/>
      <w:lvlText w:val=""/>
      <w:lvlJc w:val="left"/>
      <w:pPr>
        <w:tabs>
          <w:tab w:val="num" w:pos="840"/>
        </w:tabs>
        <w:ind w:left="840" w:firstLine="0"/>
      </w:pPr>
      <w:rPr>
        <w:rFonts w:ascii="Symbol" w:hAnsi="Symbol" w:hint="default"/>
      </w:rPr>
    </w:lvl>
    <w:lvl w:ilvl="2" w:tplc="1F3EE726" w:tentative="1">
      <w:start w:val="1"/>
      <w:numFmt w:val="bullet"/>
      <w:lvlText w:val=""/>
      <w:lvlJc w:val="left"/>
      <w:pPr>
        <w:tabs>
          <w:tab w:val="num" w:pos="1260"/>
        </w:tabs>
        <w:ind w:left="1260" w:firstLine="0"/>
      </w:pPr>
      <w:rPr>
        <w:rFonts w:ascii="Symbol" w:hAnsi="Symbol" w:hint="default"/>
      </w:rPr>
    </w:lvl>
    <w:lvl w:ilvl="3" w:tplc="3DA08CEC" w:tentative="1">
      <w:start w:val="1"/>
      <w:numFmt w:val="bullet"/>
      <w:lvlText w:val=""/>
      <w:lvlJc w:val="left"/>
      <w:pPr>
        <w:tabs>
          <w:tab w:val="num" w:pos="1680"/>
        </w:tabs>
        <w:ind w:left="1680" w:firstLine="0"/>
      </w:pPr>
      <w:rPr>
        <w:rFonts w:ascii="Symbol" w:hAnsi="Symbol" w:hint="default"/>
      </w:rPr>
    </w:lvl>
    <w:lvl w:ilvl="4" w:tplc="D2E8C892" w:tentative="1">
      <w:start w:val="1"/>
      <w:numFmt w:val="bullet"/>
      <w:lvlText w:val=""/>
      <w:lvlJc w:val="left"/>
      <w:pPr>
        <w:tabs>
          <w:tab w:val="num" w:pos="2100"/>
        </w:tabs>
        <w:ind w:left="2100" w:firstLine="0"/>
      </w:pPr>
      <w:rPr>
        <w:rFonts w:ascii="Symbol" w:hAnsi="Symbol" w:hint="default"/>
      </w:rPr>
    </w:lvl>
    <w:lvl w:ilvl="5" w:tplc="18B66E4C" w:tentative="1">
      <w:start w:val="1"/>
      <w:numFmt w:val="bullet"/>
      <w:lvlText w:val=""/>
      <w:lvlJc w:val="left"/>
      <w:pPr>
        <w:tabs>
          <w:tab w:val="num" w:pos="2520"/>
        </w:tabs>
        <w:ind w:left="2520" w:firstLine="0"/>
      </w:pPr>
      <w:rPr>
        <w:rFonts w:ascii="Symbol" w:hAnsi="Symbol" w:hint="default"/>
      </w:rPr>
    </w:lvl>
    <w:lvl w:ilvl="6" w:tplc="FAB82D32" w:tentative="1">
      <w:start w:val="1"/>
      <w:numFmt w:val="bullet"/>
      <w:lvlText w:val=""/>
      <w:lvlJc w:val="left"/>
      <w:pPr>
        <w:tabs>
          <w:tab w:val="num" w:pos="2940"/>
        </w:tabs>
        <w:ind w:left="2940" w:firstLine="0"/>
      </w:pPr>
      <w:rPr>
        <w:rFonts w:ascii="Symbol" w:hAnsi="Symbol" w:hint="default"/>
      </w:rPr>
    </w:lvl>
    <w:lvl w:ilvl="7" w:tplc="4608335C" w:tentative="1">
      <w:start w:val="1"/>
      <w:numFmt w:val="bullet"/>
      <w:lvlText w:val=""/>
      <w:lvlJc w:val="left"/>
      <w:pPr>
        <w:tabs>
          <w:tab w:val="num" w:pos="3360"/>
        </w:tabs>
        <w:ind w:left="3360" w:firstLine="0"/>
      </w:pPr>
      <w:rPr>
        <w:rFonts w:ascii="Symbol" w:hAnsi="Symbol" w:hint="default"/>
      </w:rPr>
    </w:lvl>
    <w:lvl w:ilvl="8" w:tplc="A94C6F16" w:tentative="1">
      <w:start w:val="1"/>
      <w:numFmt w:val="bullet"/>
      <w:lvlText w:val=""/>
      <w:lvlJc w:val="left"/>
      <w:pPr>
        <w:tabs>
          <w:tab w:val="num" w:pos="3780"/>
        </w:tabs>
        <w:ind w:left="3780" w:firstLine="0"/>
      </w:pPr>
      <w:rPr>
        <w:rFonts w:ascii="Symbol" w:hAnsi="Symbol" w:hint="default"/>
      </w:rPr>
    </w:lvl>
  </w:abstractNum>
  <w:abstractNum w:abstractNumId="4">
    <w:nsid w:val="4B2C12FF"/>
    <w:multiLevelType w:val="hybridMultilevel"/>
    <w:tmpl w:val="187A835A"/>
    <w:lvl w:ilvl="0" w:tplc="600E7EC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F610C43"/>
    <w:multiLevelType w:val="hybridMultilevel"/>
    <w:tmpl w:val="22463926"/>
    <w:lvl w:ilvl="0" w:tplc="BA282474">
      <w:start w:val="1"/>
      <w:numFmt w:val="bullet"/>
      <w:lvlText w:val="•"/>
      <w:lvlJc w:val="left"/>
      <w:pPr>
        <w:tabs>
          <w:tab w:val="num" w:pos="720"/>
        </w:tabs>
        <w:ind w:left="720" w:hanging="360"/>
      </w:pPr>
      <w:rPr>
        <w:rFonts w:ascii="宋体" w:hAnsi="宋体" w:hint="default"/>
      </w:rPr>
    </w:lvl>
    <w:lvl w:ilvl="1" w:tplc="D2A821D0" w:tentative="1">
      <w:start w:val="1"/>
      <w:numFmt w:val="bullet"/>
      <w:lvlText w:val="•"/>
      <w:lvlJc w:val="left"/>
      <w:pPr>
        <w:tabs>
          <w:tab w:val="num" w:pos="1440"/>
        </w:tabs>
        <w:ind w:left="1440" w:hanging="360"/>
      </w:pPr>
      <w:rPr>
        <w:rFonts w:ascii="宋体" w:hAnsi="宋体" w:hint="default"/>
      </w:rPr>
    </w:lvl>
    <w:lvl w:ilvl="2" w:tplc="69B81DD2" w:tentative="1">
      <w:start w:val="1"/>
      <w:numFmt w:val="bullet"/>
      <w:lvlText w:val="•"/>
      <w:lvlJc w:val="left"/>
      <w:pPr>
        <w:tabs>
          <w:tab w:val="num" w:pos="2160"/>
        </w:tabs>
        <w:ind w:left="2160" w:hanging="360"/>
      </w:pPr>
      <w:rPr>
        <w:rFonts w:ascii="宋体" w:hAnsi="宋体" w:hint="default"/>
      </w:rPr>
    </w:lvl>
    <w:lvl w:ilvl="3" w:tplc="7AB4CA50" w:tentative="1">
      <w:start w:val="1"/>
      <w:numFmt w:val="bullet"/>
      <w:lvlText w:val="•"/>
      <w:lvlJc w:val="left"/>
      <w:pPr>
        <w:tabs>
          <w:tab w:val="num" w:pos="2880"/>
        </w:tabs>
        <w:ind w:left="2880" w:hanging="360"/>
      </w:pPr>
      <w:rPr>
        <w:rFonts w:ascii="宋体" w:hAnsi="宋体" w:hint="default"/>
      </w:rPr>
    </w:lvl>
    <w:lvl w:ilvl="4" w:tplc="EF3A0D5E" w:tentative="1">
      <w:start w:val="1"/>
      <w:numFmt w:val="bullet"/>
      <w:lvlText w:val="•"/>
      <w:lvlJc w:val="left"/>
      <w:pPr>
        <w:tabs>
          <w:tab w:val="num" w:pos="3600"/>
        </w:tabs>
        <w:ind w:left="3600" w:hanging="360"/>
      </w:pPr>
      <w:rPr>
        <w:rFonts w:ascii="宋体" w:hAnsi="宋体" w:hint="default"/>
      </w:rPr>
    </w:lvl>
    <w:lvl w:ilvl="5" w:tplc="32B0F706" w:tentative="1">
      <w:start w:val="1"/>
      <w:numFmt w:val="bullet"/>
      <w:lvlText w:val="•"/>
      <w:lvlJc w:val="left"/>
      <w:pPr>
        <w:tabs>
          <w:tab w:val="num" w:pos="4320"/>
        </w:tabs>
        <w:ind w:left="4320" w:hanging="360"/>
      </w:pPr>
      <w:rPr>
        <w:rFonts w:ascii="宋体" w:hAnsi="宋体" w:hint="default"/>
      </w:rPr>
    </w:lvl>
    <w:lvl w:ilvl="6" w:tplc="5C8CBE52" w:tentative="1">
      <w:start w:val="1"/>
      <w:numFmt w:val="bullet"/>
      <w:lvlText w:val="•"/>
      <w:lvlJc w:val="left"/>
      <w:pPr>
        <w:tabs>
          <w:tab w:val="num" w:pos="5040"/>
        </w:tabs>
        <w:ind w:left="5040" w:hanging="360"/>
      </w:pPr>
      <w:rPr>
        <w:rFonts w:ascii="宋体" w:hAnsi="宋体" w:hint="default"/>
      </w:rPr>
    </w:lvl>
    <w:lvl w:ilvl="7" w:tplc="EC44874A" w:tentative="1">
      <w:start w:val="1"/>
      <w:numFmt w:val="bullet"/>
      <w:lvlText w:val="•"/>
      <w:lvlJc w:val="left"/>
      <w:pPr>
        <w:tabs>
          <w:tab w:val="num" w:pos="5760"/>
        </w:tabs>
        <w:ind w:left="5760" w:hanging="360"/>
      </w:pPr>
      <w:rPr>
        <w:rFonts w:ascii="宋体" w:hAnsi="宋体" w:hint="default"/>
      </w:rPr>
    </w:lvl>
    <w:lvl w:ilvl="8" w:tplc="810294A4" w:tentative="1">
      <w:start w:val="1"/>
      <w:numFmt w:val="bullet"/>
      <w:lvlText w:val="•"/>
      <w:lvlJc w:val="left"/>
      <w:pPr>
        <w:tabs>
          <w:tab w:val="num" w:pos="6480"/>
        </w:tabs>
        <w:ind w:left="6480" w:hanging="360"/>
      </w:pPr>
      <w:rPr>
        <w:rFonts w:ascii="宋体" w:hAnsi="宋体" w:hint="default"/>
      </w:rPr>
    </w:lvl>
  </w:abstractNum>
  <w:abstractNum w:abstractNumId="6">
    <w:nsid w:val="7A235A32"/>
    <w:multiLevelType w:val="hybridMultilevel"/>
    <w:tmpl w:val="02D89134"/>
    <w:lvl w:ilvl="0" w:tplc="1F4AC3C6">
      <w:start w:val="1"/>
      <w:numFmt w:val="bullet"/>
      <w:lvlText w:val=""/>
      <w:lvlPicBulletId w:val="0"/>
      <w:lvlJc w:val="left"/>
      <w:pPr>
        <w:tabs>
          <w:tab w:val="num" w:pos="0"/>
        </w:tabs>
        <w:ind w:left="0" w:firstLine="0"/>
      </w:pPr>
      <w:rPr>
        <w:rFonts w:ascii="Symbol" w:hAnsi="Symbol" w:hint="default"/>
      </w:rPr>
    </w:lvl>
    <w:lvl w:ilvl="1" w:tplc="FAE26D1A" w:tentative="1">
      <w:start w:val="1"/>
      <w:numFmt w:val="bullet"/>
      <w:lvlText w:val=""/>
      <w:lvlJc w:val="left"/>
      <w:pPr>
        <w:tabs>
          <w:tab w:val="num" w:pos="420"/>
        </w:tabs>
        <w:ind w:left="420" w:firstLine="0"/>
      </w:pPr>
      <w:rPr>
        <w:rFonts w:ascii="Symbol" w:hAnsi="Symbol" w:hint="default"/>
      </w:rPr>
    </w:lvl>
    <w:lvl w:ilvl="2" w:tplc="043CAC74" w:tentative="1">
      <w:start w:val="1"/>
      <w:numFmt w:val="bullet"/>
      <w:lvlText w:val=""/>
      <w:lvlJc w:val="left"/>
      <w:pPr>
        <w:tabs>
          <w:tab w:val="num" w:pos="840"/>
        </w:tabs>
        <w:ind w:left="840" w:firstLine="0"/>
      </w:pPr>
      <w:rPr>
        <w:rFonts w:ascii="Symbol" w:hAnsi="Symbol" w:hint="default"/>
      </w:rPr>
    </w:lvl>
    <w:lvl w:ilvl="3" w:tplc="5612737C" w:tentative="1">
      <w:start w:val="1"/>
      <w:numFmt w:val="bullet"/>
      <w:lvlText w:val=""/>
      <w:lvlJc w:val="left"/>
      <w:pPr>
        <w:tabs>
          <w:tab w:val="num" w:pos="1260"/>
        </w:tabs>
        <w:ind w:left="1260" w:firstLine="0"/>
      </w:pPr>
      <w:rPr>
        <w:rFonts w:ascii="Symbol" w:hAnsi="Symbol" w:hint="default"/>
      </w:rPr>
    </w:lvl>
    <w:lvl w:ilvl="4" w:tplc="DDE66B2C" w:tentative="1">
      <w:start w:val="1"/>
      <w:numFmt w:val="bullet"/>
      <w:lvlText w:val=""/>
      <w:lvlJc w:val="left"/>
      <w:pPr>
        <w:tabs>
          <w:tab w:val="num" w:pos="1680"/>
        </w:tabs>
        <w:ind w:left="1680" w:firstLine="0"/>
      </w:pPr>
      <w:rPr>
        <w:rFonts w:ascii="Symbol" w:hAnsi="Symbol" w:hint="default"/>
      </w:rPr>
    </w:lvl>
    <w:lvl w:ilvl="5" w:tplc="EF86AD92" w:tentative="1">
      <w:start w:val="1"/>
      <w:numFmt w:val="bullet"/>
      <w:lvlText w:val=""/>
      <w:lvlJc w:val="left"/>
      <w:pPr>
        <w:tabs>
          <w:tab w:val="num" w:pos="2100"/>
        </w:tabs>
        <w:ind w:left="2100" w:firstLine="0"/>
      </w:pPr>
      <w:rPr>
        <w:rFonts w:ascii="Symbol" w:hAnsi="Symbol" w:hint="default"/>
      </w:rPr>
    </w:lvl>
    <w:lvl w:ilvl="6" w:tplc="511C1774" w:tentative="1">
      <w:start w:val="1"/>
      <w:numFmt w:val="bullet"/>
      <w:lvlText w:val=""/>
      <w:lvlJc w:val="left"/>
      <w:pPr>
        <w:tabs>
          <w:tab w:val="num" w:pos="2520"/>
        </w:tabs>
        <w:ind w:left="2520" w:firstLine="0"/>
      </w:pPr>
      <w:rPr>
        <w:rFonts w:ascii="Symbol" w:hAnsi="Symbol" w:hint="default"/>
      </w:rPr>
    </w:lvl>
    <w:lvl w:ilvl="7" w:tplc="1EFC20AA" w:tentative="1">
      <w:start w:val="1"/>
      <w:numFmt w:val="bullet"/>
      <w:lvlText w:val=""/>
      <w:lvlJc w:val="left"/>
      <w:pPr>
        <w:tabs>
          <w:tab w:val="num" w:pos="2940"/>
        </w:tabs>
        <w:ind w:left="2940" w:firstLine="0"/>
      </w:pPr>
      <w:rPr>
        <w:rFonts w:ascii="Symbol" w:hAnsi="Symbol" w:hint="default"/>
      </w:rPr>
    </w:lvl>
    <w:lvl w:ilvl="8" w:tplc="7A3E101A" w:tentative="1">
      <w:start w:val="1"/>
      <w:numFmt w:val="bullet"/>
      <w:lvlText w:val=""/>
      <w:lvlJc w:val="left"/>
      <w:pPr>
        <w:tabs>
          <w:tab w:val="num" w:pos="3360"/>
        </w:tabs>
        <w:ind w:left="3360" w:firstLine="0"/>
      </w:pPr>
      <w:rPr>
        <w:rFonts w:ascii="Symbol" w:hAnsi="Symbol" w:hint="default"/>
      </w:rPr>
    </w:lvl>
  </w:abstractNum>
  <w:abstractNum w:abstractNumId="7">
    <w:nsid w:val="7C3E21F3"/>
    <w:multiLevelType w:val="hybridMultilevel"/>
    <w:tmpl w:val="294CD03E"/>
    <w:lvl w:ilvl="0" w:tplc="600E7EC0">
      <w:start w:val="1"/>
      <w:numFmt w:val="japaneseCounting"/>
      <w:lvlText w:val="%1、"/>
      <w:lvlJc w:val="left"/>
      <w:pPr>
        <w:tabs>
          <w:tab w:val="num" w:pos="1680"/>
        </w:tabs>
        <w:ind w:left="1680" w:hanging="42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num w:numId="1">
    <w:abstractNumId w:val="4"/>
  </w:num>
  <w:num w:numId="2">
    <w:abstractNumId w:val="7"/>
  </w:num>
  <w:num w:numId="3">
    <w:abstractNumId w:val="3"/>
  </w:num>
  <w:num w:numId="4">
    <w:abstractNumId w:val="2"/>
  </w:num>
  <w:num w:numId="5">
    <w:abstractNumId w:val="6"/>
  </w:num>
  <w:num w:numId="6">
    <w:abstractNumId w:val="5"/>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stylePaneFormatFilter w:val="3F01"/>
  <w:defaultTabStop w:val="420"/>
  <w:drawingGridHorizontalSpacing w:val="100"/>
  <w:drawingGridVerticalSpacing w:val="174"/>
  <w:displayHorizontalDrawingGridEvery w:val="0"/>
  <w:displayVerticalDrawingGridEvery w:val="2"/>
  <w:characterSpacingControl w:val="compressPunctuation"/>
  <w:hdrShapeDefaults>
    <o:shapedefaults v:ext="edit" spidmax="3074" fillcolor="white">
      <v:fill color="white"/>
      <o:colormru v:ext="edit" colors="#0a71a8,#d7e3ee,#a7c0f1"/>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2927"/>
    <w:rsid w:val="000066D7"/>
    <w:rsid w:val="00006852"/>
    <w:rsid w:val="000069E5"/>
    <w:rsid w:val="00006F1B"/>
    <w:rsid w:val="00011A91"/>
    <w:rsid w:val="00012E0A"/>
    <w:rsid w:val="00013434"/>
    <w:rsid w:val="00013CE7"/>
    <w:rsid w:val="0001761B"/>
    <w:rsid w:val="00017D30"/>
    <w:rsid w:val="00017EE5"/>
    <w:rsid w:val="0002001D"/>
    <w:rsid w:val="00020795"/>
    <w:rsid w:val="00020FB0"/>
    <w:rsid w:val="00025FA4"/>
    <w:rsid w:val="0002635A"/>
    <w:rsid w:val="000273F6"/>
    <w:rsid w:val="00027DEC"/>
    <w:rsid w:val="00032F52"/>
    <w:rsid w:val="00040513"/>
    <w:rsid w:val="00041556"/>
    <w:rsid w:val="000420A7"/>
    <w:rsid w:val="00042D68"/>
    <w:rsid w:val="00043C83"/>
    <w:rsid w:val="000445BB"/>
    <w:rsid w:val="00044B79"/>
    <w:rsid w:val="0004527E"/>
    <w:rsid w:val="00052737"/>
    <w:rsid w:val="0006219E"/>
    <w:rsid w:val="000627C3"/>
    <w:rsid w:val="00062C2D"/>
    <w:rsid w:val="000638B5"/>
    <w:rsid w:val="00063F6B"/>
    <w:rsid w:val="00073321"/>
    <w:rsid w:val="00075494"/>
    <w:rsid w:val="00077273"/>
    <w:rsid w:val="00085573"/>
    <w:rsid w:val="00085C8B"/>
    <w:rsid w:val="00090ADA"/>
    <w:rsid w:val="0009244F"/>
    <w:rsid w:val="00094814"/>
    <w:rsid w:val="00095893"/>
    <w:rsid w:val="000A3A30"/>
    <w:rsid w:val="000B0158"/>
    <w:rsid w:val="000B14DF"/>
    <w:rsid w:val="000B23DD"/>
    <w:rsid w:val="000B2BCC"/>
    <w:rsid w:val="000C11E3"/>
    <w:rsid w:val="000C3D37"/>
    <w:rsid w:val="000C49CD"/>
    <w:rsid w:val="000D0DC3"/>
    <w:rsid w:val="000D59A4"/>
    <w:rsid w:val="000D7898"/>
    <w:rsid w:val="000E14B3"/>
    <w:rsid w:val="000E55E1"/>
    <w:rsid w:val="000E6E1D"/>
    <w:rsid w:val="000E7E4E"/>
    <w:rsid w:val="000F088F"/>
    <w:rsid w:val="0010138E"/>
    <w:rsid w:val="00107A83"/>
    <w:rsid w:val="0011106F"/>
    <w:rsid w:val="00112FE2"/>
    <w:rsid w:val="001139DD"/>
    <w:rsid w:val="00116FF5"/>
    <w:rsid w:val="001171EB"/>
    <w:rsid w:val="0011733D"/>
    <w:rsid w:val="0012291C"/>
    <w:rsid w:val="0012356E"/>
    <w:rsid w:val="001247A3"/>
    <w:rsid w:val="00125944"/>
    <w:rsid w:val="00125A7F"/>
    <w:rsid w:val="00142927"/>
    <w:rsid w:val="00144B14"/>
    <w:rsid w:val="001514D8"/>
    <w:rsid w:val="00151BF1"/>
    <w:rsid w:val="001568DB"/>
    <w:rsid w:val="00161683"/>
    <w:rsid w:val="00170A98"/>
    <w:rsid w:val="0017361A"/>
    <w:rsid w:val="00175B3E"/>
    <w:rsid w:val="001941E4"/>
    <w:rsid w:val="00195A5D"/>
    <w:rsid w:val="001A414C"/>
    <w:rsid w:val="001A4776"/>
    <w:rsid w:val="001A7A16"/>
    <w:rsid w:val="001B2EE0"/>
    <w:rsid w:val="001C23E6"/>
    <w:rsid w:val="001E3293"/>
    <w:rsid w:val="001E3DD3"/>
    <w:rsid w:val="001F0830"/>
    <w:rsid w:val="001F159B"/>
    <w:rsid w:val="001F65C8"/>
    <w:rsid w:val="001F6A17"/>
    <w:rsid w:val="001F7158"/>
    <w:rsid w:val="002005DE"/>
    <w:rsid w:val="00203866"/>
    <w:rsid w:val="00204AD8"/>
    <w:rsid w:val="00205A21"/>
    <w:rsid w:val="002100D3"/>
    <w:rsid w:val="00212B2F"/>
    <w:rsid w:val="00212B50"/>
    <w:rsid w:val="002140CA"/>
    <w:rsid w:val="00225B09"/>
    <w:rsid w:val="00226A7D"/>
    <w:rsid w:val="00230ED2"/>
    <w:rsid w:val="002316BC"/>
    <w:rsid w:val="0023225C"/>
    <w:rsid w:val="002325F8"/>
    <w:rsid w:val="00232E18"/>
    <w:rsid w:val="00234671"/>
    <w:rsid w:val="00234DF9"/>
    <w:rsid w:val="0023715B"/>
    <w:rsid w:val="002410C2"/>
    <w:rsid w:val="0024246C"/>
    <w:rsid w:val="00242840"/>
    <w:rsid w:val="00247485"/>
    <w:rsid w:val="002476B8"/>
    <w:rsid w:val="00250B2E"/>
    <w:rsid w:val="00250C7B"/>
    <w:rsid w:val="00260C38"/>
    <w:rsid w:val="00261DE5"/>
    <w:rsid w:val="00266B41"/>
    <w:rsid w:val="00267B9A"/>
    <w:rsid w:val="00270034"/>
    <w:rsid w:val="002727BE"/>
    <w:rsid w:val="00275A27"/>
    <w:rsid w:val="002772E5"/>
    <w:rsid w:val="00281094"/>
    <w:rsid w:val="00281ABD"/>
    <w:rsid w:val="00281FFF"/>
    <w:rsid w:val="0028212D"/>
    <w:rsid w:val="0028312C"/>
    <w:rsid w:val="00283273"/>
    <w:rsid w:val="002834B2"/>
    <w:rsid w:val="00284D10"/>
    <w:rsid w:val="00285948"/>
    <w:rsid w:val="0028700B"/>
    <w:rsid w:val="002948A5"/>
    <w:rsid w:val="00295A0B"/>
    <w:rsid w:val="00296038"/>
    <w:rsid w:val="00296471"/>
    <w:rsid w:val="002A04C4"/>
    <w:rsid w:val="002A255D"/>
    <w:rsid w:val="002A5E32"/>
    <w:rsid w:val="002B219A"/>
    <w:rsid w:val="002B6247"/>
    <w:rsid w:val="002C190B"/>
    <w:rsid w:val="002C7DE2"/>
    <w:rsid w:val="002D195B"/>
    <w:rsid w:val="002D19AC"/>
    <w:rsid w:val="002D4382"/>
    <w:rsid w:val="002D57DC"/>
    <w:rsid w:val="002E28DD"/>
    <w:rsid w:val="002E3B36"/>
    <w:rsid w:val="002F0A58"/>
    <w:rsid w:val="002F4110"/>
    <w:rsid w:val="002F4F12"/>
    <w:rsid w:val="002F6FAC"/>
    <w:rsid w:val="00300C6F"/>
    <w:rsid w:val="00304986"/>
    <w:rsid w:val="003108A9"/>
    <w:rsid w:val="0031123A"/>
    <w:rsid w:val="00314325"/>
    <w:rsid w:val="003154CF"/>
    <w:rsid w:val="00320CC1"/>
    <w:rsid w:val="0032197F"/>
    <w:rsid w:val="00322D72"/>
    <w:rsid w:val="0033388A"/>
    <w:rsid w:val="00335D71"/>
    <w:rsid w:val="0034405B"/>
    <w:rsid w:val="00345740"/>
    <w:rsid w:val="0034699C"/>
    <w:rsid w:val="00346FE0"/>
    <w:rsid w:val="00351D46"/>
    <w:rsid w:val="00356B21"/>
    <w:rsid w:val="00357719"/>
    <w:rsid w:val="00357773"/>
    <w:rsid w:val="00360327"/>
    <w:rsid w:val="00372619"/>
    <w:rsid w:val="003732A0"/>
    <w:rsid w:val="003760A1"/>
    <w:rsid w:val="00376F81"/>
    <w:rsid w:val="00380584"/>
    <w:rsid w:val="00385B9F"/>
    <w:rsid w:val="00387AE8"/>
    <w:rsid w:val="00387D76"/>
    <w:rsid w:val="00387FF3"/>
    <w:rsid w:val="003938F5"/>
    <w:rsid w:val="003939E5"/>
    <w:rsid w:val="003A1AA4"/>
    <w:rsid w:val="003A25BD"/>
    <w:rsid w:val="003A3CA7"/>
    <w:rsid w:val="003B04B0"/>
    <w:rsid w:val="003B1C3F"/>
    <w:rsid w:val="003B4236"/>
    <w:rsid w:val="003B5487"/>
    <w:rsid w:val="003B5D37"/>
    <w:rsid w:val="003B7112"/>
    <w:rsid w:val="003C1AA7"/>
    <w:rsid w:val="003C2D61"/>
    <w:rsid w:val="003C7168"/>
    <w:rsid w:val="003D27B5"/>
    <w:rsid w:val="003D456F"/>
    <w:rsid w:val="003D59DB"/>
    <w:rsid w:val="003D5C8C"/>
    <w:rsid w:val="003D6958"/>
    <w:rsid w:val="003E1848"/>
    <w:rsid w:val="003E1FDA"/>
    <w:rsid w:val="003E33A0"/>
    <w:rsid w:val="003E3E45"/>
    <w:rsid w:val="003E6128"/>
    <w:rsid w:val="003E6ED8"/>
    <w:rsid w:val="003E7754"/>
    <w:rsid w:val="003F79E3"/>
    <w:rsid w:val="00400E7D"/>
    <w:rsid w:val="004027F8"/>
    <w:rsid w:val="00402B92"/>
    <w:rsid w:val="00403013"/>
    <w:rsid w:val="00403CC4"/>
    <w:rsid w:val="004050A6"/>
    <w:rsid w:val="00410946"/>
    <w:rsid w:val="00410B06"/>
    <w:rsid w:val="0041240D"/>
    <w:rsid w:val="00414258"/>
    <w:rsid w:val="004158C6"/>
    <w:rsid w:val="00415AA9"/>
    <w:rsid w:val="00423077"/>
    <w:rsid w:val="004247B4"/>
    <w:rsid w:val="00424DAB"/>
    <w:rsid w:val="00425B53"/>
    <w:rsid w:val="00426F00"/>
    <w:rsid w:val="00437245"/>
    <w:rsid w:val="004434DA"/>
    <w:rsid w:val="00445430"/>
    <w:rsid w:val="00446587"/>
    <w:rsid w:val="0044751A"/>
    <w:rsid w:val="00453624"/>
    <w:rsid w:val="004537A7"/>
    <w:rsid w:val="00454498"/>
    <w:rsid w:val="00454CD3"/>
    <w:rsid w:val="0045644A"/>
    <w:rsid w:val="00463F2B"/>
    <w:rsid w:val="00464FE5"/>
    <w:rsid w:val="00467CB8"/>
    <w:rsid w:val="004820D5"/>
    <w:rsid w:val="0048381E"/>
    <w:rsid w:val="00484E62"/>
    <w:rsid w:val="00486121"/>
    <w:rsid w:val="004879E6"/>
    <w:rsid w:val="00490571"/>
    <w:rsid w:val="00492FD0"/>
    <w:rsid w:val="00494590"/>
    <w:rsid w:val="00495EB9"/>
    <w:rsid w:val="004A48C6"/>
    <w:rsid w:val="004A62B0"/>
    <w:rsid w:val="004B0AB3"/>
    <w:rsid w:val="004B1DCF"/>
    <w:rsid w:val="004B32FB"/>
    <w:rsid w:val="004B3C57"/>
    <w:rsid w:val="004B4537"/>
    <w:rsid w:val="004B5B7A"/>
    <w:rsid w:val="004B702E"/>
    <w:rsid w:val="004C0156"/>
    <w:rsid w:val="004C634F"/>
    <w:rsid w:val="004C6C2B"/>
    <w:rsid w:val="004D231B"/>
    <w:rsid w:val="004E3951"/>
    <w:rsid w:val="004E7F3B"/>
    <w:rsid w:val="004F0C98"/>
    <w:rsid w:val="004F12D5"/>
    <w:rsid w:val="004F26DF"/>
    <w:rsid w:val="004F30D4"/>
    <w:rsid w:val="004F7BFC"/>
    <w:rsid w:val="00502FD7"/>
    <w:rsid w:val="00504674"/>
    <w:rsid w:val="00506185"/>
    <w:rsid w:val="00506A54"/>
    <w:rsid w:val="0051207E"/>
    <w:rsid w:val="00513285"/>
    <w:rsid w:val="00517A89"/>
    <w:rsid w:val="00517B7B"/>
    <w:rsid w:val="005209FA"/>
    <w:rsid w:val="00522CD6"/>
    <w:rsid w:val="00526F9D"/>
    <w:rsid w:val="00534159"/>
    <w:rsid w:val="005378EB"/>
    <w:rsid w:val="00540B0D"/>
    <w:rsid w:val="00541A1B"/>
    <w:rsid w:val="00543822"/>
    <w:rsid w:val="00547AE1"/>
    <w:rsid w:val="00554355"/>
    <w:rsid w:val="00555CF9"/>
    <w:rsid w:val="00555F0D"/>
    <w:rsid w:val="00557B2D"/>
    <w:rsid w:val="00557E82"/>
    <w:rsid w:val="00562438"/>
    <w:rsid w:val="005629BD"/>
    <w:rsid w:val="005635EB"/>
    <w:rsid w:val="00567AAA"/>
    <w:rsid w:val="00567B25"/>
    <w:rsid w:val="0057055C"/>
    <w:rsid w:val="00575A53"/>
    <w:rsid w:val="00580D34"/>
    <w:rsid w:val="005821E3"/>
    <w:rsid w:val="00583A8C"/>
    <w:rsid w:val="00585FD0"/>
    <w:rsid w:val="005861AC"/>
    <w:rsid w:val="00586C1A"/>
    <w:rsid w:val="0059000A"/>
    <w:rsid w:val="0059147C"/>
    <w:rsid w:val="00595499"/>
    <w:rsid w:val="00597982"/>
    <w:rsid w:val="005A6DBF"/>
    <w:rsid w:val="005B368E"/>
    <w:rsid w:val="005B5A06"/>
    <w:rsid w:val="005B65B2"/>
    <w:rsid w:val="005B665C"/>
    <w:rsid w:val="005B7ACC"/>
    <w:rsid w:val="005C1AC8"/>
    <w:rsid w:val="005C1C63"/>
    <w:rsid w:val="005C2BD3"/>
    <w:rsid w:val="005D5814"/>
    <w:rsid w:val="005D6AFB"/>
    <w:rsid w:val="005D72F3"/>
    <w:rsid w:val="005E2AF5"/>
    <w:rsid w:val="005E3718"/>
    <w:rsid w:val="005E69A6"/>
    <w:rsid w:val="005E7B2C"/>
    <w:rsid w:val="006004BF"/>
    <w:rsid w:val="0060200D"/>
    <w:rsid w:val="0060737B"/>
    <w:rsid w:val="006112FA"/>
    <w:rsid w:val="00617B86"/>
    <w:rsid w:val="00620443"/>
    <w:rsid w:val="006304DF"/>
    <w:rsid w:val="00630A5D"/>
    <w:rsid w:val="00637729"/>
    <w:rsid w:val="00640933"/>
    <w:rsid w:val="00640E7F"/>
    <w:rsid w:val="00640EBB"/>
    <w:rsid w:val="00641E3B"/>
    <w:rsid w:val="00641F04"/>
    <w:rsid w:val="006438ED"/>
    <w:rsid w:val="00643FD2"/>
    <w:rsid w:val="00645A28"/>
    <w:rsid w:val="00647167"/>
    <w:rsid w:val="00651A9F"/>
    <w:rsid w:val="00651BA1"/>
    <w:rsid w:val="006534FE"/>
    <w:rsid w:val="00654348"/>
    <w:rsid w:val="006606DF"/>
    <w:rsid w:val="00662219"/>
    <w:rsid w:val="0067028E"/>
    <w:rsid w:val="0067101F"/>
    <w:rsid w:val="006710A7"/>
    <w:rsid w:val="00672403"/>
    <w:rsid w:val="00673ACE"/>
    <w:rsid w:val="00676530"/>
    <w:rsid w:val="006768EA"/>
    <w:rsid w:val="006775D0"/>
    <w:rsid w:val="00687514"/>
    <w:rsid w:val="00691130"/>
    <w:rsid w:val="00694D65"/>
    <w:rsid w:val="00697599"/>
    <w:rsid w:val="00697827"/>
    <w:rsid w:val="006A00B7"/>
    <w:rsid w:val="006A1ACE"/>
    <w:rsid w:val="006A5F86"/>
    <w:rsid w:val="006A724C"/>
    <w:rsid w:val="006B1B91"/>
    <w:rsid w:val="006B464C"/>
    <w:rsid w:val="006B7C53"/>
    <w:rsid w:val="006C44D4"/>
    <w:rsid w:val="006D470C"/>
    <w:rsid w:val="006D4900"/>
    <w:rsid w:val="006D6A4C"/>
    <w:rsid w:val="006E20E1"/>
    <w:rsid w:val="006E42FA"/>
    <w:rsid w:val="006E5727"/>
    <w:rsid w:val="006E6607"/>
    <w:rsid w:val="006E6C6F"/>
    <w:rsid w:val="006E7236"/>
    <w:rsid w:val="006F01B1"/>
    <w:rsid w:val="006F0BD6"/>
    <w:rsid w:val="006F3D5F"/>
    <w:rsid w:val="006F4BE4"/>
    <w:rsid w:val="006F5E8C"/>
    <w:rsid w:val="006F7B48"/>
    <w:rsid w:val="00716B54"/>
    <w:rsid w:val="00716FC4"/>
    <w:rsid w:val="007174A7"/>
    <w:rsid w:val="007179B3"/>
    <w:rsid w:val="00717E8E"/>
    <w:rsid w:val="0072043D"/>
    <w:rsid w:val="00720F36"/>
    <w:rsid w:val="007222F1"/>
    <w:rsid w:val="00723F0F"/>
    <w:rsid w:val="00724586"/>
    <w:rsid w:val="0072496C"/>
    <w:rsid w:val="00735294"/>
    <w:rsid w:val="0074444E"/>
    <w:rsid w:val="00746528"/>
    <w:rsid w:val="00746DE9"/>
    <w:rsid w:val="00751F47"/>
    <w:rsid w:val="00753B8C"/>
    <w:rsid w:val="007554F6"/>
    <w:rsid w:val="00755FBD"/>
    <w:rsid w:val="00762D8A"/>
    <w:rsid w:val="00762DE1"/>
    <w:rsid w:val="00766912"/>
    <w:rsid w:val="007724EA"/>
    <w:rsid w:val="00773EF8"/>
    <w:rsid w:val="00776DB5"/>
    <w:rsid w:val="00777889"/>
    <w:rsid w:val="007837E6"/>
    <w:rsid w:val="00784A87"/>
    <w:rsid w:val="00790CA6"/>
    <w:rsid w:val="007923FA"/>
    <w:rsid w:val="007942D3"/>
    <w:rsid w:val="007A19F8"/>
    <w:rsid w:val="007A3922"/>
    <w:rsid w:val="007A5022"/>
    <w:rsid w:val="007A61DE"/>
    <w:rsid w:val="007B07BA"/>
    <w:rsid w:val="007B1A41"/>
    <w:rsid w:val="007B357E"/>
    <w:rsid w:val="007C2937"/>
    <w:rsid w:val="007C5D70"/>
    <w:rsid w:val="007C6B24"/>
    <w:rsid w:val="007D01CF"/>
    <w:rsid w:val="007D059C"/>
    <w:rsid w:val="007D3B97"/>
    <w:rsid w:val="007D4F59"/>
    <w:rsid w:val="007E168D"/>
    <w:rsid w:val="007E4637"/>
    <w:rsid w:val="007E5D6D"/>
    <w:rsid w:val="007E63C8"/>
    <w:rsid w:val="007E7F26"/>
    <w:rsid w:val="007F1B83"/>
    <w:rsid w:val="007F2925"/>
    <w:rsid w:val="007F3BBB"/>
    <w:rsid w:val="007F3FF7"/>
    <w:rsid w:val="008004AD"/>
    <w:rsid w:val="00801329"/>
    <w:rsid w:val="008036A3"/>
    <w:rsid w:val="008040B5"/>
    <w:rsid w:val="008042D5"/>
    <w:rsid w:val="0080537B"/>
    <w:rsid w:val="008056FA"/>
    <w:rsid w:val="00816D24"/>
    <w:rsid w:val="00822D0D"/>
    <w:rsid w:val="00823F1B"/>
    <w:rsid w:val="00826F70"/>
    <w:rsid w:val="008325CA"/>
    <w:rsid w:val="0083328E"/>
    <w:rsid w:val="00840BEE"/>
    <w:rsid w:val="00844F84"/>
    <w:rsid w:val="00845899"/>
    <w:rsid w:val="00850793"/>
    <w:rsid w:val="008539AC"/>
    <w:rsid w:val="008577E8"/>
    <w:rsid w:val="00865F7F"/>
    <w:rsid w:val="00875649"/>
    <w:rsid w:val="008761C7"/>
    <w:rsid w:val="00885008"/>
    <w:rsid w:val="00885F92"/>
    <w:rsid w:val="0088660D"/>
    <w:rsid w:val="008909E3"/>
    <w:rsid w:val="00893582"/>
    <w:rsid w:val="0089483E"/>
    <w:rsid w:val="00895F8D"/>
    <w:rsid w:val="008A0FE2"/>
    <w:rsid w:val="008A59BB"/>
    <w:rsid w:val="008A7218"/>
    <w:rsid w:val="008B221E"/>
    <w:rsid w:val="008B45A3"/>
    <w:rsid w:val="008B5F16"/>
    <w:rsid w:val="008B7351"/>
    <w:rsid w:val="008B79C1"/>
    <w:rsid w:val="008C1916"/>
    <w:rsid w:val="008C6489"/>
    <w:rsid w:val="008D4BBC"/>
    <w:rsid w:val="008D7EBD"/>
    <w:rsid w:val="008E20C2"/>
    <w:rsid w:val="008E4B2A"/>
    <w:rsid w:val="008E4E55"/>
    <w:rsid w:val="008F1DC5"/>
    <w:rsid w:val="008F339B"/>
    <w:rsid w:val="008F5252"/>
    <w:rsid w:val="008F5B6A"/>
    <w:rsid w:val="00901E03"/>
    <w:rsid w:val="00904965"/>
    <w:rsid w:val="00904D10"/>
    <w:rsid w:val="00904F20"/>
    <w:rsid w:val="009077EB"/>
    <w:rsid w:val="009120D4"/>
    <w:rsid w:val="00914540"/>
    <w:rsid w:val="009168CF"/>
    <w:rsid w:val="00916C23"/>
    <w:rsid w:val="009179E2"/>
    <w:rsid w:val="0092133E"/>
    <w:rsid w:val="00925609"/>
    <w:rsid w:val="0092564F"/>
    <w:rsid w:val="0092599C"/>
    <w:rsid w:val="00925FA6"/>
    <w:rsid w:val="00930101"/>
    <w:rsid w:val="00930290"/>
    <w:rsid w:val="00935360"/>
    <w:rsid w:val="009370DA"/>
    <w:rsid w:val="00941259"/>
    <w:rsid w:val="00942D35"/>
    <w:rsid w:val="009479AD"/>
    <w:rsid w:val="00951FD9"/>
    <w:rsid w:val="00955295"/>
    <w:rsid w:val="00956C84"/>
    <w:rsid w:val="00957A7B"/>
    <w:rsid w:val="00960A51"/>
    <w:rsid w:val="00962B30"/>
    <w:rsid w:val="00963F02"/>
    <w:rsid w:val="0097062B"/>
    <w:rsid w:val="00972370"/>
    <w:rsid w:val="00976880"/>
    <w:rsid w:val="0097751E"/>
    <w:rsid w:val="00977BA2"/>
    <w:rsid w:val="00982857"/>
    <w:rsid w:val="009829C3"/>
    <w:rsid w:val="0098346D"/>
    <w:rsid w:val="009834EC"/>
    <w:rsid w:val="0099241C"/>
    <w:rsid w:val="009A0DC9"/>
    <w:rsid w:val="009A5DCC"/>
    <w:rsid w:val="009A6327"/>
    <w:rsid w:val="009A7EB1"/>
    <w:rsid w:val="009B02EC"/>
    <w:rsid w:val="009B17E3"/>
    <w:rsid w:val="009B1CCE"/>
    <w:rsid w:val="009B75C6"/>
    <w:rsid w:val="009B7FED"/>
    <w:rsid w:val="009C65E0"/>
    <w:rsid w:val="009D162A"/>
    <w:rsid w:val="009D3648"/>
    <w:rsid w:val="009D67E6"/>
    <w:rsid w:val="009D7F3A"/>
    <w:rsid w:val="009E16E5"/>
    <w:rsid w:val="009E30E8"/>
    <w:rsid w:val="009E77A8"/>
    <w:rsid w:val="009E7838"/>
    <w:rsid w:val="009F2DE5"/>
    <w:rsid w:val="009F4E7F"/>
    <w:rsid w:val="009F6FA8"/>
    <w:rsid w:val="00A00187"/>
    <w:rsid w:val="00A00556"/>
    <w:rsid w:val="00A01941"/>
    <w:rsid w:val="00A0459C"/>
    <w:rsid w:val="00A06544"/>
    <w:rsid w:val="00A07544"/>
    <w:rsid w:val="00A0773F"/>
    <w:rsid w:val="00A14ACD"/>
    <w:rsid w:val="00A20AD7"/>
    <w:rsid w:val="00A20B25"/>
    <w:rsid w:val="00A23F71"/>
    <w:rsid w:val="00A245D0"/>
    <w:rsid w:val="00A3065C"/>
    <w:rsid w:val="00A3182F"/>
    <w:rsid w:val="00A32881"/>
    <w:rsid w:val="00A331BA"/>
    <w:rsid w:val="00A34228"/>
    <w:rsid w:val="00A347B3"/>
    <w:rsid w:val="00A36028"/>
    <w:rsid w:val="00A408AC"/>
    <w:rsid w:val="00A42118"/>
    <w:rsid w:val="00A46308"/>
    <w:rsid w:val="00A46D0E"/>
    <w:rsid w:val="00A5172C"/>
    <w:rsid w:val="00A52312"/>
    <w:rsid w:val="00A52FF0"/>
    <w:rsid w:val="00A5652D"/>
    <w:rsid w:val="00A613AC"/>
    <w:rsid w:val="00A621B7"/>
    <w:rsid w:val="00A64BB2"/>
    <w:rsid w:val="00A75013"/>
    <w:rsid w:val="00A76699"/>
    <w:rsid w:val="00A771E8"/>
    <w:rsid w:val="00A77990"/>
    <w:rsid w:val="00A8437A"/>
    <w:rsid w:val="00A8765F"/>
    <w:rsid w:val="00A916E2"/>
    <w:rsid w:val="00A93B68"/>
    <w:rsid w:val="00A94305"/>
    <w:rsid w:val="00A950ED"/>
    <w:rsid w:val="00A97DAC"/>
    <w:rsid w:val="00AA01CE"/>
    <w:rsid w:val="00AB1DE3"/>
    <w:rsid w:val="00AB27BC"/>
    <w:rsid w:val="00AB3232"/>
    <w:rsid w:val="00AB448F"/>
    <w:rsid w:val="00AB4D56"/>
    <w:rsid w:val="00AC025C"/>
    <w:rsid w:val="00AC2190"/>
    <w:rsid w:val="00AD0B5C"/>
    <w:rsid w:val="00AD309B"/>
    <w:rsid w:val="00AE5B42"/>
    <w:rsid w:val="00AF03CD"/>
    <w:rsid w:val="00AF1589"/>
    <w:rsid w:val="00AF3B21"/>
    <w:rsid w:val="00AF7BEB"/>
    <w:rsid w:val="00B02D0F"/>
    <w:rsid w:val="00B0715A"/>
    <w:rsid w:val="00B10348"/>
    <w:rsid w:val="00B114A1"/>
    <w:rsid w:val="00B1517C"/>
    <w:rsid w:val="00B1690A"/>
    <w:rsid w:val="00B16D1E"/>
    <w:rsid w:val="00B234B7"/>
    <w:rsid w:val="00B242D8"/>
    <w:rsid w:val="00B264CE"/>
    <w:rsid w:val="00B30872"/>
    <w:rsid w:val="00B32C31"/>
    <w:rsid w:val="00B3567F"/>
    <w:rsid w:val="00B411FA"/>
    <w:rsid w:val="00B43F80"/>
    <w:rsid w:val="00B46916"/>
    <w:rsid w:val="00B502B4"/>
    <w:rsid w:val="00B50571"/>
    <w:rsid w:val="00B50C6C"/>
    <w:rsid w:val="00B515AD"/>
    <w:rsid w:val="00B52638"/>
    <w:rsid w:val="00B52E9F"/>
    <w:rsid w:val="00B54D5C"/>
    <w:rsid w:val="00B66957"/>
    <w:rsid w:val="00B66A9D"/>
    <w:rsid w:val="00B67A02"/>
    <w:rsid w:val="00B74D2D"/>
    <w:rsid w:val="00B77C3D"/>
    <w:rsid w:val="00B81BE5"/>
    <w:rsid w:val="00B8383C"/>
    <w:rsid w:val="00B83CEC"/>
    <w:rsid w:val="00B86C49"/>
    <w:rsid w:val="00B937DC"/>
    <w:rsid w:val="00B95CB0"/>
    <w:rsid w:val="00B974D9"/>
    <w:rsid w:val="00B97D9C"/>
    <w:rsid w:val="00BA2D4C"/>
    <w:rsid w:val="00BA7C58"/>
    <w:rsid w:val="00BB42A4"/>
    <w:rsid w:val="00BB7A60"/>
    <w:rsid w:val="00BC5441"/>
    <w:rsid w:val="00BC6DCB"/>
    <w:rsid w:val="00BD05AB"/>
    <w:rsid w:val="00BD376B"/>
    <w:rsid w:val="00BE1515"/>
    <w:rsid w:val="00BE38A8"/>
    <w:rsid w:val="00BE5903"/>
    <w:rsid w:val="00BE74DE"/>
    <w:rsid w:val="00BE7D52"/>
    <w:rsid w:val="00BE7E79"/>
    <w:rsid w:val="00BF2B6C"/>
    <w:rsid w:val="00BF330A"/>
    <w:rsid w:val="00BF3AE6"/>
    <w:rsid w:val="00BF5BE6"/>
    <w:rsid w:val="00BF6A4C"/>
    <w:rsid w:val="00C02D1F"/>
    <w:rsid w:val="00C05736"/>
    <w:rsid w:val="00C07F7A"/>
    <w:rsid w:val="00C2414B"/>
    <w:rsid w:val="00C24F61"/>
    <w:rsid w:val="00C30DC3"/>
    <w:rsid w:val="00C31661"/>
    <w:rsid w:val="00C31D26"/>
    <w:rsid w:val="00C35AE5"/>
    <w:rsid w:val="00C45E3D"/>
    <w:rsid w:val="00C47CA6"/>
    <w:rsid w:val="00C50935"/>
    <w:rsid w:val="00C50C10"/>
    <w:rsid w:val="00C5156A"/>
    <w:rsid w:val="00C644B6"/>
    <w:rsid w:val="00C67B03"/>
    <w:rsid w:val="00C67CD3"/>
    <w:rsid w:val="00C70834"/>
    <w:rsid w:val="00C70B19"/>
    <w:rsid w:val="00C72FD2"/>
    <w:rsid w:val="00C73773"/>
    <w:rsid w:val="00C7395B"/>
    <w:rsid w:val="00C7465B"/>
    <w:rsid w:val="00C773CD"/>
    <w:rsid w:val="00C80869"/>
    <w:rsid w:val="00C8616C"/>
    <w:rsid w:val="00C906C4"/>
    <w:rsid w:val="00C92D77"/>
    <w:rsid w:val="00C9655B"/>
    <w:rsid w:val="00CA232A"/>
    <w:rsid w:val="00CA27CC"/>
    <w:rsid w:val="00CA3261"/>
    <w:rsid w:val="00CA3C69"/>
    <w:rsid w:val="00CB46CE"/>
    <w:rsid w:val="00CB4947"/>
    <w:rsid w:val="00CB66AC"/>
    <w:rsid w:val="00CC36B3"/>
    <w:rsid w:val="00CC4DD4"/>
    <w:rsid w:val="00CC70DD"/>
    <w:rsid w:val="00CD015C"/>
    <w:rsid w:val="00CD1E27"/>
    <w:rsid w:val="00CD5863"/>
    <w:rsid w:val="00CD60A5"/>
    <w:rsid w:val="00CD715E"/>
    <w:rsid w:val="00CE3100"/>
    <w:rsid w:val="00CF39A6"/>
    <w:rsid w:val="00CF742F"/>
    <w:rsid w:val="00D13A3E"/>
    <w:rsid w:val="00D16A68"/>
    <w:rsid w:val="00D35C5A"/>
    <w:rsid w:val="00D37E2F"/>
    <w:rsid w:val="00D44294"/>
    <w:rsid w:val="00D51CE7"/>
    <w:rsid w:val="00D51EFF"/>
    <w:rsid w:val="00D53923"/>
    <w:rsid w:val="00D57176"/>
    <w:rsid w:val="00D64CA6"/>
    <w:rsid w:val="00D703CC"/>
    <w:rsid w:val="00D70530"/>
    <w:rsid w:val="00D71C57"/>
    <w:rsid w:val="00D77DAD"/>
    <w:rsid w:val="00D802EE"/>
    <w:rsid w:val="00D80EC2"/>
    <w:rsid w:val="00D8381E"/>
    <w:rsid w:val="00D8420F"/>
    <w:rsid w:val="00D843F2"/>
    <w:rsid w:val="00D84EAF"/>
    <w:rsid w:val="00D9099D"/>
    <w:rsid w:val="00D91309"/>
    <w:rsid w:val="00D92C5B"/>
    <w:rsid w:val="00D93BC6"/>
    <w:rsid w:val="00D94913"/>
    <w:rsid w:val="00D96E2C"/>
    <w:rsid w:val="00D973FE"/>
    <w:rsid w:val="00DA06E3"/>
    <w:rsid w:val="00DA08C3"/>
    <w:rsid w:val="00DA0D20"/>
    <w:rsid w:val="00DA12C5"/>
    <w:rsid w:val="00DA1572"/>
    <w:rsid w:val="00DA1F24"/>
    <w:rsid w:val="00DA32FD"/>
    <w:rsid w:val="00DA6A0F"/>
    <w:rsid w:val="00DB00CE"/>
    <w:rsid w:val="00DB11DA"/>
    <w:rsid w:val="00DB79B3"/>
    <w:rsid w:val="00DC140F"/>
    <w:rsid w:val="00DC14A5"/>
    <w:rsid w:val="00DC169A"/>
    <w:rsid w:val="00DC2F42"/>
    <w:rsid w:val="00DC3F07"/>
    <w:rsid w:val="00DC4843"/>
    <w:rsid w:val="00DC59DE"/>
    <w:rsid w:val="00DE0F6B"/>
    <w:rsid w:val="00DE53FA"/>
    <w:rsid w:val="00DE6A85"/>
    <w:rsid w:val="00DE6CD2"/>
    <w:rsid w:val="00DE7EBC"/>
    <w:rsid w:val="00DF0C8B"/>
    <w:rsid w:val="00DF0DB0"/>
    <w:rsid w:val="00DF45F6"/>
    <w:rsid w:val="00DF7C8E"/>
    <w:rsid w:val="00E002F1"/>
    <w:rsid w:val="00E009AF"/>
    <w:rsid w:val="00E04AEB"/>
    <w:rsid w:val="00E055CD"/>
    <w:rsid w:val="00E05E8A"/>
    <w:rsid w:val="00E078EE"/>
    <w:rsid w:val="00E07CB7"/>
    <w:rsid w:val="00E147BC"/>
    <w:rsid w:val="00E14A5F"/>
    <w:rsid w:val="00E14D21"/>
    <w:rsid w:val="00E203B2"/>
    <w:rsid w:val="00E245FA"/>
    <w:rsid w:val="00E325A8"/>
    <w:rsid w:val="00E35411"/>
    <w:rsid w:val="00E367F5"/>
    <w:rsid w:val="00E400FF"/>
    <w:rsid w:val="00E430E3"/>
    <w:rsid w:val="00E44D2A"/>
    <w:rsid w:val="00E468A3"/>
    <w:rsid w:val="00E478A9"/>
    <w:rsid w:val="00E532B2"/>
    <w:rsid w:val="00E532E5"/>
    <w:rsid w:val="00E544B5"/>
    <w:rsid w:val="00E56739"/>
    <w:rsid w:val="00E570FA"/>
    <w:rsid w:val="00E62F64"/>
    <w:rsid w:val="00E631C3"/>
    <w:rsid w:val="00E66FCF"/>
    <w:rsid w:val="00E67605"/>
    <w:rsid w:val="00E70B9B"/>
    <w:rsid w:val="00E724FA"/>
    <w:rsid w:val="00E7684A"/>
    <w:rsid w:val="00E8016E"/>
    <w:rsid w:val="00E93C4C"/>
    <w:rsid w:val="00E943EF"/>
    <w:rsid w:val="00E94FA4"/>
    <w:rsid w:val="00E958BC"/>
    <w:rsid w:val="00EA1260"/>
    <w:rsid w:val="00EA1266"/>
    <w:rsid w:val="00EA3A9F"/>
    <w:rsid w:val="00EA43BC"/>
    <w:rsid w:val="00EA61EF"/>
    <w:rsid w:val="00EA67F9"/>
    <w:rsid w:val="00EA77CE"/>
    <w:rsid w:val="00EB1A06"/>
    <w:rsid w:val="00EB3580"/>
    <w:rsid w:val="00EB3FE4"/>
    <w:rsid w:val="00EB4871"/>
    <w:rsid w:val="00EB7808"/>
    <w:rsid w:val="00EC2746"/>
    <w:rsid w:val="00EC5CCF"/>
    <w:rsid w:val="00ED398A"/>
    <w:rsid w:val="00ED44C2"/>
    <w:rsid w:val="00ED6FE7"/>
    <w:rsid w:val="00EE17DB"/>
    <w:rsid w:val="00EE5281"/>
    <w:rsid w:val="00EE7CE0"/>
    <w:rsid w:val="00EF1389"/>
    <w:rsid w:val="00EF2023"/>
    <w:rsid w:val="00EF266C"/>
    <w:rsid w:val="00F0225E"/>
    <w:rsid w:val="00F0247F"/>
    <w:rsid w:val="00F04A3F"/>
    <w:rsid w:val="00F060F6"/>
    <w:rsid w:val="00F07790"/>
    <w:rsid w:val="00F12AAB"/>
    <w:rsid w:val="00F278DA"/>
    <w:rsid w:val="00F310C8"/>
    <w:rsid w:val="00F327AD"/>
    <w:rsid w:val="00F33024"/>
    <w:rsid w:val="00F3372C"/>
    <w:rsid w:val="00F40777"/>
    <w:rsid w:val="00F42D65"/>
    <w:rsid w:val="00F44C8F"/>
    <w:rsid w:val="00F51D6C"/>
    <w:rsid w:val="00F51EB5"/>
    <w:rsid w:val="00F53A49"/>
    <w:rsid w:val="00F5531E"/>
    <w:rsid w:val="00F5745B"/>
    <w:rsid w:val="00F64B5A"/>
    <w:rsid w:val="00F653E7"/>
    <w:rsid w:val="00F72459"/>
    <w:rsid w:val="00F72A90"/>
    <w:rsid w:val="00F74DEF"/>
    <w:rsid w:val="00F7574F"/>
    <w:rsid w:val="00F816DE"/>
    <w:rsid w:val="00F821DB"/>
    <w:rsid w:val="00F85436"/>
    <w:rsid w:val="00F87CAA"/>
    <w:rsid w:val="00F9084C"/>
    <w:rsid w:val="00F93CE3"/>
    <w:rsid w:val="00F9528E"/>
    <w:rsid w:val="00FA3930"/>
    <w:rsid w:val="00FA520A"/>
    <w:rsid w:val="00FA76F4"/>
    <w:rsid w:val="00FA7795"/>
    <w:rsid w:val="00FB1445"/>
    <w:rsid w:val="00FB17CF"/>
    <w:rsid w:val="00FB2717"/>
    <w:rsid w:val="00FB47AC"/>
    <w:rsid w:val="00FB4B57"/>
    <w:rsid w:val="00FC0819"/>
    <w:rsid w:val="00FC27A2"/>
    <w:rsid w:val="00FC472A"/>
    <w:rsid w:val="00FC7308"/>
    <w:rsid w:val="00FC7FEF"/>
    <w:rsid w:val="00FD1DBC"/>
    <w:rsid w:val="00FE160E"/>
    <w:rsid w:val="00FE34AE"/>
    <w:rsid w:val="00FE3947"/>
    <w:rsid w:val="00FE49E0"/>
    <w:rsid w:val="00FE6374"/>
    <w:rsid w:val="00FF2055"/>
    <w:rsid w:val="00FF2368"/>
    <w:rsid w:val="00FF2E0B"/>
    <w:rsid w:val="00FF3A3A"/>
    <w:rsid w:val="00FF4A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colormru v:ext="edit" colors="#0a71a8,#d7e3ee,#a7c0f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0DC3"/>
    <w:pPr>
      <w:widowControl w:val="0"/>
      <w:jc w:val="both"/>
    </w:pPr>
    <w:rPr>
      <w:kern w:val="2"/>
      <w:sz w:val="21"/>
      <w:szCs w:val="24"/>
    </w:rPr>
  </w:style>
  <w:style w:type="paragraph" w:styleId="1">
    <w:name w:val="heading 1"/>
    <w:basedOn w:val="a"/>
    <w:next w:val="a"/>
    <w:link w:val="1Char"/>
    <w:uiPriority w:val="9"/>
    <w:qFormat/>
    <w:rsid w:val="0011106F"/>
    <w:pPr>
      <w:keepNext/>
      <w:keepLines/>
      <w:spacing w:before="340" w:after="330" w:line="578" w:lineRule="auto"/>
      <w:outlineLvl w:val="0"/>
    </w:pPr>
    <w:rPr>
      <w:rFonts w:ascii="Calibri" w:hAnsi="Calibri"/>
      <w:b/>
      <w:bCs/>
      <w:kern w:val="44"/>
      <w:sz w:val="44"/>
      <w:szCs w:val="44"/>
    </w:rPr>
  </w:style>
  <w:style w:type="paragraph" w:styleId="3">
    <w:name w:val="heading 3"/>
    <w:basedOn w:val="a"/>
    <w:next w:val="a"/>
    <w:link w:val="3Char"/>
    <w:uiPriority w:val="9"/>
    <w:qFormat/>
    <w:rsid w:val="009F4E7F"/>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42927"/>
    <w:pPr>
      <w:tabs>
        <w:tab w:val="center" w:pos="4153"/>
        <w:tab w:val="right" w:pos="8306"/>
      </w:tabs>
      <w:snapToGrid w:val="0"/>
      <w:jc w:val="center"/>
    </w:pPr>
    <w:rPr>
      <w:sz w:val="18"/>
      <w:szCs w:val="18"/>
    </w:rPr>
  </w:style>
  <w:style w:type="paragraph" w:styleId="a4">
    <w:name w:val="footer"/>
    <w:basedOn w:val="a"/>
    <w:link w:val="Char0"/>
    <w:uiPriority w:val="99"/>
    <w:rsid w:val="00142927"/>
    <w:pPr>
      <w:tabs>
        <w:tab w:val="center" w:pos="4153"/>
        <w:tab w:val="right" w:pos="8306"/>
      </w:tabs>
      <w:snapToGrid w:val="0"/>
      <w:jc w:val="left"/>
    </w:pPr>
    <w:rPr>
      <w:sz w:val="18"/>
      <w:szCs w:val="18"/>
    </w:rPr>
  </w:style>
  <w:style w:type="paragraph" w:customStyle="1" w:styleId="Pullquote">
    <w:name w:val="Pullquote"/>
    <w:basedOn w:val="a"/>
    <w:rsid w:val="00914540"/>
    <w:pPr>
      <w:pBdr>
        <w:top w:val="single" w:sz="6" w:space="1" w:color="336699"/>
        <w:bottom w:val="single" w:sz="6" w:space="3" w:color="336699"/>
      </w:pBdr>
      <w:spacing w:before="60" w:after="60" w:line="280" w:lineRule="exact"/>
      <w:ind w:left="58" w:right="58"/>
      <w:jc w:val="center"/>
    </w:pPr>
    <w:rPr>
      <w:rFonts w:ascii="Arial" w:hAnsi="Arial"/>
      <w:i/>
      <w:color w:val="336699"/>
      <w:sz w:val="22"/>
    </w:rPr>
  </w:style>
  <w:style w:type="character" w:customStyle="1" w:styleId="1Char">
    <w:name w:val="标题 1 Char"/>
    <w:link w:val="1"/>
    <w:uiPriority w:val="9"/>
    <w:rsid w:val="0011106F"/>
    <w:rPr>
      <w:rFonts w:ascii="Calibri" w:eastAsia="宋体" w:hAnsi="Calibri" w:cs="Times New Roman"/>
      <w:b/>
      <w:bCs/>
      <w:kern w:val="44"/>
      <w:sz w:val="44"/>
      <w:szCs w:val="44"/>
    </w:rPr>
  </w:style>
  <w:style w:type="paragraph" w:styleId="a5">
    <w:name w:val="List Paragraph"/>
    <w:basedOn w:val="a"/>
    <w:uiPriority w:val="34"/>
    <w:qFormat/>
    <w:rsid w:val="0011106F"/>
    <w:pPr>
      <w:ind w:firstLineChars="200" w:firstLine="420"/>
    </w:pPr>
    <w:rPr>
      <w:rFonts w:ascii="Calibri" w:hAnsi="Calibri"/>
      <w:szCs w:val="22"/>
    </w:rPr>
  </w:style>
  <w:style w:type="paragraph" w:styleId="HTML">
    <w:name w:val="HTML Preformatted"/>
    <w:basedOn w:val="a"/>
    <w:link w:val="HTMLChar"/>
    <w:uiPriority w:val="99"/>
    <w:unhideWhenUsed/>
    <w:rsid w:val="00111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11106F"/>
    <w:rPr>
      <w:rFonts w:ascii="宋体" w:hAnsi="宋体" w:cs="宋体"/>
      <w:sz w:val="24"/>
      <w:szCs w:val="24"/>
    </w:rPr>
  </w:style>
  <w:style w:type="paragraph" w:styleId="a6">
    <w:name w:val="Normal (Web)"/>
    <w:basedOn w:val="a"/>
    <w:uiPriority w:val="99"/>
    <w:unhideWhenUsed/>
    <w:rsid w:val="0011106F"/>
    <w:pPr>
      <w:widowControl/>
      <w:spacing w:before="100" w:beforeAutospacing="1" w:after="100" w:afterAutospacing="1"/>
      <w:jc w:val="left"/>
    </w:pPr>
    <w:rPr>
      <w:rFonts w:ascii="宋体" w:hAnsi="宋体" w:cs="宋体"/>
      <w:kern w:val="0"/>
      <w:sz w:val="24"/>
    </w:rPr>
  </w:style>
  <w:style w:type="paragraph" w:customStyle="1" w:styleId="tdword2">
    <w:name w:val="tdword2"/>
    <w:basedOn w:val="a"/>
    <w:rsid w:val="0011106F"/>
    <w:pPr>
      <w:widowControl/>
      <w:spacing w:before="100" w:beforeAutospacing="1" w:after="100" w:afterAutospacing="1"/>
      <w:ind w:left="180" w:right="300"/>
      <w:jc w:val="left"/>
    </w:pPr>
    <w:rPr>
      <w:rFonts w:ascii="宋体" w:hAnsi="宋体" w:cs="宋体"/>
      <w:kern w:val="0"/>
      <w:sz w:val="24"/>
    </w:rPr>
  </w:style>
  <w:style w:type="character" w:styleId="a7">
    <w:name w:val="Hyperlink"/>
    <w:uiPriority w:val="99"/>
    <w:unhideWhenUsed/>
    <w:rsid w:val="0011106F"/>
    <w:rPr>
      <w:strike w:val="0"/>
      <w:dstrike w:val="0"/>
      <w:color w:val="000000"/>
      <w:u w:val="none"/>
      <w:effect w:val="none"/>
    </w:rPr>
  </w:style>
  <w:style w:type="character" w:customStyle="1" w:styleId="Char">
    <w:name w:val="页眉 Char"/>
    <w:link w:val="a3"/>
    <w:uiPriority w:val="99"/>
    <w:rsid w:val="0011106F"/>
    <w:rPr>
      <w:kern w:val="2"/>
      <w:sz w:val="18"/>
      <w:szCs w:val="18"/>
    </w:rPr>
  </w:style>
  <w:style w:type="character" w:customStyle="1" w:styleId="Char0">
    <w:name w:val="页脚 Char"/>
    <w:link w:val="a4"/>
    <w:uiPriority w:val="99"/>
    <w:rsid w:val="0011106F"/>
    <w:rPr>
      <w:kern w:val="2"/>
      <w:sz w:val="18"/>
      <w:szCs w:val="18"/>
    </w:rPr>
  </w:style>
  <w:style w:type="character" w:customStyle="1" w:styleId="3Char">
    <w:name w:val="标题 3 Char"/>
    <w:link w:val="3"/>
    <w:uiPriority w:val="9"/>
    <w:semiHidden/>
    <w:rsid w:val="009F4E7F"/>
    <w:rPr>
      <w:rFonts w:ascii="Calibri" w:eastAsia="宋体" w:hAnsi="Calibri" w:cs="Times New Roman"/>
      <w:b/>
      <w:bCs/>
      <w:kern w:val="2"/>
      <w:sz w:val="32"/>
      <w:szCs w:val="32"/>
    </w:rPr>
  </w:style>
  <w:style w:type="character" w:customStyle="1" w:styleId="headline-content2">
    <w:name w:val="headline-content2"/>
    <w:basedOn w:val="a0"/>
    <w:rsid w:val="009F4E7F"/>
  </w:style>
  <w:style w:type="character" w:styleId="a8">
    <w:name w:val="FollowedHyperlink"/>
    <w:aliases w:val="访问过的超链接"/>
    <w:rsid w:val="00D70530"/>
    <w:rPr>
      <w:color w:val="800080"/>
      <w:u w:val="single"/>
    </w:rPr>
  </w:style>
  <w:style w:type="paragraph" w:styleId="a9">
    <w:name w:val="Balloon Text"/>
    <w:basedOn w:val="a"/>
    <w:link w:val="Char1"/>
    <w:rsid w:val="00E367F5"/>
    <w:rPr>
      <w:sz w:val="18"/>
      <w:szCs w:val="18"/>
    </w:rPr>
  </w:style>
  <w:style w:type="character" w:customStyle="1" w:styleId="Char1">
    <w:name w:val="批注框文本 Char"/>
    <w:link w:val="a9"/>
    <w:rsid w:val="00E367F5"/>
    <w:rPr>
      <w:kern w:val="2"/>
      <w:sz w:val="18"/>
      <w:szCs w:val="18"/>
    </w:rPr>
  </w:style>
  <w:style w:type="paragraph" w:styleId="aa">
    <w:name w:val="Document Map"/>
    <w:basedOn w:val="a"/>
    <w:link w:val="Char2"/>
    <w:rsid w:val="004027F8"/>
    <w:rPr>
      <w:rFonts w:ascii="宋体"/>
      <w:sz w:val="18"/>
      <w:szCs w:val="18"/>
    </w:rPr>
  </w:style>
  <w:style w:type="character" w:customStyle="1" w:styleId="Char2">
    <w:name w:val="文档结构图 Char"/>
    <w:link w:val="aa"/>
    <w:rsid w:val="004027F8"/>
    <w:rPr>
      <w:rFonts w:ascii="宋体"/>
      <w:kern w:val="2"/>
      <w:sz w:val="18"/>
      <w:szCs w:val="18"/>
    </w:rPr>
  </w:style>
  <w:style w:type="character" w:styleId="ab">
    <w:name w:val="annotation reference"/>
    <w:basedOn w:val="a0"/>
    <w:rsid w:val="00044B79"/>
    <w:rPr>
      <w:sz w:val="21"/>
      <w:szCs w:val="21"/>
    </w:rPr>
  </w:style>
  <w:style w:type="paragraph" w:styleId="ac">
    <w:name w:val="annotation text"/>
    <w:basedOn w:val="a"/>
    <w:link w:val="Char3"/>
    <w:rsid w:val="00044B79"/>
    <w:pPr>
      <w:jc w:val="left"/>
    </w:pPr>
  </w:style>
  <w:style w:type="character" w:customStyle="1" w:styleId="Char3">
    <w:name w:val="批注文字 Char"/>
    <w:basedOn w:val="a0"/>
    <w:link w:val="ac"/>
    <w:rsid w:val="00044B79"/>
    <w:rPr>
      <w:kern w:val="2"/>
      <w:sz w:val="21"/>
      <w:szCs w:val="24"/>
    </w:rPr>
  </w:style>
</w:styles>
</file>

<file path=word/webSettings.xml><?xml version="1.0" encoding="utf-8"?>
<w:webSettings xmlns:r="http://schemas.openxmlformats.org/officeDocument/2006/relationships" xmlns:w="http://schemas.openxmlformats.org/wordprocessingml/2006/main">
  <w:divs>
    <w:div w:id="3439716">
      <w:bodyDiv w:val="1"/>
      <w:marLeft w:val="0"/>
      <w:marRight w:val="0"/>
      <w:marTop w:val="0"/>
      <w:marBottom w:val="0"/>
      <w:divBdr>
        <w:top w:val="none" w:sz="0" w:space="0" w:color="auto"/>
        <w:left w:val="none" w:sz="0" w:space="0" w:color="auto"/>
        <w:bottom w:val="none" w:sz="0" w:space="0" w:color="auto"/>
        <w:right w:val="none" w:sz="0" w:space="0" w:color="auto"/>
      </w:divBdr>
      <w:divsChild>
        <w:div w:id="1549951216">
          <w:marLeft w:val="0"/>
          <w:marRight w:val="0"/>
          <w:marTop w:val="0"/>
          <w:marBottom w:val="0"/>
          <w:divBdr>
            <w:top w:val="none" w:sz="0" w:space="0" w:color="auto"/>
            <w:left w:val="none" w:sz="0" w:space="0" w:color="auto"/>
            <w:bottom w:val="none" w:sz="0" w:space="0" w:color="auto"/>
            <w:right w:val="none" w:sz="0" w:space="0" w:color="auto"/>
          </w:divBdr>
          <w:divsChild>
            <w:div w:id="1933079012">
              <w:marLeft w:val="0"/>
              <w:marRight w:val="0"/>
              <w:marTop w:val="0"/>
              <w:marBottom w:val="0"/>
              <w:divBdr>
                <w:top w:val="none" w:sz="0" w:space="0" w:color="auto"/>
                <w:left w:val="single" w:sz="6" w:space="0" w:color="999999"/>
                <w:bottom w:val="single" w:sz="6" w:space="0" w:color="999999"/>
                <w:right w:val="single" w:sz="6" w:space="0" w:color="999999"/>
              </w:divBdr>
              <w:divsChild>
                <w:div w:id="573707895">
                  <w:marLeft w:val="0"/>
                  <w:marRight w:val="0"/>
                  <w:marTop w:val="0"/>
                  <w:marBottom w:val="0"/>
                  <w:divBdr>
                    <w:top w:val="none" w:sz="0" w:space="0" w:color="auto"/>
                    <w:left w:val="none" w:sz="0" w:space="0" w:color="auto"/>
                    <w:bottom w:val="none" w:sz="0" w:space="0" w:color="auto"/>
                    <w:right w:val="none" w:sz="0" w:space="0" w:color="auto"/>
                  </w:divBdr>
                  <w:divsChild>
                    <w:div w:id="1825702843">
                      <w:marLeft w:val="0"/>
                      <w:marRight w:val="0"/>
                      <w:marTop w:val="0"/>
                      <w:marBottom w:val="0"/>
                      <w:divBdr>
                        <w:top w:val="none" w:sz="0" w:space="0" w:color="auto"/>
                        <w:left w:val="none" w:sz="0" w:space="0" w:color="auto"/>
                        <w:bottom w:val="none" w:sz="0" w:space="0" w:color="auto"/>
                        <w:right w:val="none" w:sz="0" w:space="0" w:color="auto"/>
                      </w:divBdr>
                      <w:divsChild>
                        <w:div w:id="19187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7324">
      <w:bodyDiv w:val="1"/>
      <w:marLeft w:val="0"/>
      <w:marRight w:val="0"/>
      <w:marTop w:val="0"/>
      <w:marBottom w:val="0"/>
      <w:divBdr>
        <w:top w:val="none" w:sz="0" w:space="0" w:color="auto"/>
        <w:left w:val="none" w:sz="0" w:space="0" w:color="auto"/>
        <w:bottom w:val="none" w:sz="0" w:space="0" w:color="auto"/>
        <w:right w:val="none" w:sz="0" w:space="0" w:color="auto"/>
      </w:divBdr>
    </w:div>
    <w:div w:id="60254514">
      <w:bodyDiv w:val="1"/>
      <w:marLeft w:val="0"/>
      <w:marRight w:val="0"/>
      <w:marTop w:val="0"/>
      <w:marBottom w:val="0"/>
      <w:divBdr>
        <w:top w:val="none" w:sz="0" w:space="0" w:color="auto"/>
        <w:left w:val="none" w:sz="0" w:space="0" w:color="auto"/>
        <w:bottom w:val="none" w:sz="0" w:space="0" w:color="auto"/>
        <w:right w:val="none" w:sz="0" w:space="0" w:color="auto"/>
      </w:divBdr>
    </w:div>
    <w:div w:id="205800827">
      <w:bodyDiv w:val="1"/>
      <w:marLeft w:val="0"/>
      <w:marRight w:val="0"/>
      <w:marTop w:val="0"/>
      <w:marBottom w:val="0"/>
      <w:divBdr>
        <w:top w:val="none" w:sz="0" w:space="0" w:color="auto"/>
        <w:left w:val="none" w:sz="0" w:space="0" w:color="auto"/>
        <w:bottom w:val="none" w:sz="0" w:space="0" w:color="auto"/>
        <w:right w:val="none" w:sz="0" w:space="0" w:color="auto"/>
      </w:divBdr>
    </w:div>
    <w:div w:id="310406689">
      <w:bodyDiv w:val="1"/>
      <w:marLeft w:val="0"/>
      <w:marRight w:val="0"/>
      <w:marTop w:val="0"/>
      <w:marBottom w:val="0"/>
      <w:divBdr>
        <w:top w:val="none" w:sz="0" w:space="0" w:color="auto"/>
        <w:left w:val="none" w:sz="0" w:space="0" w:color="auto"/>
        <w:bottom w:val="none" w:sz="0" w:space="0" w:color="auto"/>
        <w:right w:val="none" w:sz="0" w:space="0" w:color="auto"/>
      </w:divBdr>
    </w:div>
    <w:div w:id="334266341">
      <w:bodyDiv w:val="1"/>
      <w:marLeft w:val="0"/>
      <w:marRight w:val="0"/>
      <w:marTop w:val="0"/>
      <w:marBottom w:val="0"/>
      <w:divBdr>
        <w:top w:val="none" w:sz="0" w:space="0" w:color="auto"/>
        <w:left w:val="none" w:sz="0" w:space="0" w:color="auto"/>
        <w:bottom w:val="none" w:sz="0" w:space="0" w:color="auto"/>
        <w:right w:val="none" w:sz="0" w:space="0" w:color="auto"/>
      </w:divBdr>
    </w:div>
    <w:div w:id="432482112">
      <w:bodyDiv w:val="1"/>
      <w:marLeft w:val="0"/>
      <w:marRight w:val="0"/>
      <w:marTop w:val="0"/>
      <w:marBottom w:val="0"/>
      <w:divBdr>
        <w:top w:val="none" w:sz="0" w:space="0" w:color="auto"/>
        <w:left w:val="none" w:sz="0" w:space="0" w:color="auto"/>
        <w:bottom w:val="none" w:sz="0" w:space="0" w:color="auto"/>
        <w:right w:val="none" w:sz="0" w:space="0" w:color="auto"/>
      </w:divBdr>
    </w:div>
    <w:div w:id="484512339">
      <w:bodyDiv w:val="1"/>
      <w:marLeft w:val="0"/>
      <w:marRight w:val="0"/>
      <w:marTop w:val="0"/>
      <w:marBottom w:val="0"/>
      <w:divBdr>
        <w:top w:val="none" w:sz="0" w:space="0" w:color="auto"/>
        <w:left w:val="none" w:sz="0" w:space="0" w:color="auto"/>
        <w:bottom w:val="none" w:sz="0" w:space="0" w:color="auto"/>
        <w:right w:val="none" w:sz="0" w:space="0" w:color="auto"/>
      </w:divBdr>
    </w:div>
    <w:div w:id="520244193">
      <w:bodyDiv w:val="1"/>
      <w:marLeft w:val="0"/>
      <w:marRight w:val="0"/>
      <w:marTop w:val="0"/>
      <w:marBottom w:val="0"/>
      <w:divBdr>
        <w:top w:val="none" w:sz="0" w:space="0" w:color="auto"/>
        <w:left w:val="none" w:sz="0" w:space="0" w:color="auto"/>
        <w:bottom w:val="none" w:sz="0" w:space="0" w:color="auto"/>
        <w:right w:val="none" w:sz="0" w:space="0" w:color="auto"/>
      </w:divBdr>
    </w:div>
    <w:div w:id="565067676">
      <w:bodyDiv w:val="1"/>
      <w:marLeft w:val="0"/>
      <w:marRight w:val="0"/>
      <w:marTop w:val="0"/>
      <w:marBottom w:val="0"/>
      <w:divBdr>
        <w:top w:val="none" w:sz="0" w:space="0" w:color="auto"/>
        <w:left w:val="none" w:sz="0" w:space="0" w:color="auto"/>
        <w:bottom w:val="none" w:sz="0" w:space="0" w:color="auto"/>
        <w:right w:val="none" w:sz="0" w:space="0" w:color="auto"/>
      </w:divBdr>
      <w:divsChild>
        <w:div w:id="1197768443">
          <w:marLeft w:val="0"/>
          <w:marRight w:val="0"/>
          <w:marTop w:val="0"/>
          <w:marBottom w:val="0"/>
          <w:divBdr>
            <w:top w:val="none" w:sz="0" w:space="0" w:color="auto"/>
            <w:left w:val="none" w:sz="0" w:space="0" w:color="auto"/>
            <w:bottom w:val="none" w:sz="0" w:space="0" w:color="auto"/>
            <w:right w:val="none" w:sz="0" w:space="0" w:color="auto"/>
          </w:divBdr>
          <w:divsChild>
            <w:div w:id="1134369095">
              <w:marLeft w:val="0"/>
              <w:marRight w:val="0"/>
              <w:marTop w:val="0"/>
              <w:marBottom w:val="0"/>
              <w:divBdr>
                <w:top w:val="none" w:sz="0" w:space="0" w:color="auto"/>
                <w:left w:val="single" w:sz="6" w:space="0" w:color="999999"/>
                <w:bottom w:val="single" w:sz="6" w:space="0" w:color="999999"/>
                <w:right w:val="single" w:sz="6" w:space="0" w:color="999999"/>
              </w:divBdr>
              <w:divsChild>
                <w:div w:id="910774963">
                  <w:marLeft w:val="0"/>
                  <w:marRight w:val="0"/>
                  <w:marTop w:val="0"/>
                  <w:marBottom w:val="0"/>
                  <w:divBdr>
                    <w:top w:val="none" w:sz="0" w:space="0" w:color="auto"/>
                    <w:left w:val="none" w:sz="0" w:space="0" w:color="auto"/>
                    <w:bottom w:val="none" w:sz="0" w:space="0" w:color="auto"/>
                    <w:right w:val="none" w:sz="0" w:space="0" w:color="auto"/>
                  </w:divBdr>
                  <w:divsChild>
                    <w:div w:id="1683779423">
                      <w:marLeft w:val="0"/>
                      <w:marRight w:val="0"/>
                      <w:marTop w:val="0"/>
                      <w:marBottom w:val="0"/>
                      <w:divBdr>
                        <w:top w:val="none" w:sz="0" w:space="0" w:color="auto"/>
                        <w:left w:val="none" w:sz="0" w:space="0" w:color="auto"/>
                        <w:bottom w:val="none" w:sz="0" w:space="0" w:color="auto"/>
                        <w:right w:val="none" w:sz="0" w:space="0" w:color="auto"/>
                      </w:divBdr>
                      <w:divsChild>
                        <w:div w:id="20440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033741">
      <w:bodyDiv w:val="1"/>
      <w:marLeft w:val="0"/>
      <w:marRight w:val="0"/>
      <w:marTop w:val="0"/>
      <w:marBottom w:val="0"/>
      <w:divBdr>
        <w:top w:val="none" w:sz="0" w:space="0" w:color="auto"/>
        <w:left w:val="none" w:sz="0" w:space="0" w:color="auto"/>
        <w:bottom w:val="none" w:sz="0" w:space="0" w:color="auto"/>
        <w:right w:val="none" w:sz="0" w:space="0" w:color="auto"/>
      </w:divBdr>
    </w:div>
    <w:div w:id="736824000">
      <w:bodyDiv w:val="1"/>
      <w:marLeft w:val="0"/>
      <w:marRight w:val="0"/>
      <w:marTop w:val="0"/>
      <w:marBottom w:val="0"/>
      <w:divBdr>
        <w:top w:val="none" w:sz="0" w:space="0" w:color="auto"/>
        <w:left w:val="none" w:sz="0" w:space="0" w:color="auto"/>
        <w:bottom w:val="none" w:sz="0" w:space="0" w:color="auto"/>
        <w:right w:val="none" w:sz="0" w:space="0" w:color="auto"/>
      </w:divBdr>
    </w:div>
    <w:div w:id="816844798">
      <w:bodyDiv w:val="1"/>
      <w:marLeft w:val="0"/>
      <w:marRight w:val="0"/>
      <w:marTop w:val="0"/>
      <w:marBottom w:val="0"/>
      <w:divBdr>
        <w:top w:val="none" w:sz="0" w:space="0" w:color="auto"/>
        <w:left w:val="none" w:sz="0" w:space="0" w:color="auto"/>
        <w:bottom w:val="none" w:sz="0" w:space="0" w:color="auto"/>
        <w:right w:val="none" w:sz="0" w:space="0" w:color="auto"/>
      </w:divBdr>
    </w:div>
    <w:div w:id="835341198">
      <w:bodyDiv w:val="1"/>
      <w:marLeft w:val="0"/>
      <w:marRight w:val="0"/>
      <w:marTop w:val="0"/>
      <w:marBottom w:val="0"/>
      <w:divBdr>
        <w:top w:val="none" w:sz="0" w:space="0" w:color="auto"/>
        <w:left w:val="none" w:sz="0" w:space="0" w:color="auto"/>
        <w:bottom w:val="none" w:sz="0" w:space="0" w:color="auto"/>
        <w:right w:val="none" w:sz="0" w:space="0" w:color="auto"/>
      </w:divBdr>
    </w:div>
    <w:div w:id="904753959">
      <w:bodyDiv w:val="1"/>
      <w:marLeft w:val="0"/>
      <w:marRight w:val="0"/>
      <w:marTop w:val="0"/>
      <w:marBottom w:val="0"/>
      <w:divBdr>
        <w:top w:val="none" w:sz="0" w:space="0" w:color="auto"/>
        <w:left w:val="none" w:sz="0" w:space="0" w:color="auto"/>
        <w:bottom w:val="none" w:sz="0" w:space="0" w:color="auto"/>
        <w:right w:val="none" w:sz="0" w:space="0" w:color="auto"/>
      </w:divBdr>
    </w:div>
    <w:div w:id="995376532">
      <w:bodyDiv w:val="1"/>
      <w:marLeft w:val="0"/>
      <w:marRight w:val="0"/>
      <w:marTop w:val="0"/>
      <w:marBottom w:val="0"/>
      <w:divBdr>
        <w:top w:val="none" w:sz="0" w:space="0" w:color="auto"/>
        <w:left w:val="none" w:sz="0" w:space="0" w:color="auto"/>
        <w:bottom w:val="none" w:sz="0" w:space="0" w:color="auto"/>
        <w:right w:val="none" w:sz="0" w:space="0" w:color="auto"/>
      </w:divBdr>
    </w:div>
    <w:div w:id="1065030358">
      <w:bodyDiv w:val="1"/>
      <w:marLeft w:val="0"/>
      <w:marRight w:val="0"/>
      <w:marTop w:val="0"/>
      <w:marBottom w:val="0"/>
      <w:divBdr>
        <w:top w:val="none" w:sz="0" w:space="0" w:color="auto"/>
        <w:left w:val="none" w:sz="0" w:space="0" w:color="auto"/>
        <w:bottom w:val="none" w:sz="0" w:space="0" w:color="auto"/>
        <w:right w:val="none" w:sz="0" w:space="0" w:color="auto"/>
      </w:divBdr>
    </w:div>
    <w:div w:id="1126629885">
      <w:bodyDiv w:val="1"/>
      <w:marLeft w:val="0"/>
      <w:marRight w:val="0"/>
      <w:marTop w:val="0"/>
      <w:marBottom w:val="0"/>
      <w:divBdr>
        <w:top w:val="none" w:sz="0" w:space="0" w:color="auto"/>
        <w:left w:val="none" w:sz="0" w:space="0" w:color="auto"/>
        <w:bottom w:val="none" w:sz="0" w:space="0" w:color="auto"/>
        <w:right w:val="none" w:sz="0" w:space="0" w:color="auto"/>
      </w:divBdr>
    </w:div>
    <w:div w:id="1171720582">
      <w:bodyDiv w:val="1"/>
      <w:marLeft w:val="0"/>
      <w:marRight w:val="0"/>
      <w:marTop w:val="0"/>
      <w:marBottom w:val="0"/>
      <w:divBdr>
        <w:top w:val="none" w:sz="0" w:space="0" w:color="auto"/>
        <w:left w:val="none" w:sz="0" w:space="0" w:color="auto"/>
        <w:bottom w:val="none" w:sz="0" w:space="0" w:color="auto"/>
        <w:right w:val="none" w:sz="0" w:space="0" w:color="auto"/>
      </w:divBdr>
    </w:div>
    <w:div w:id="1379862656">
      <w:bodyDiv w:val="1"/>
      <w:marLeft w:val="0"/>
      <w:marRight w:val="0"/>
      <w:marTop w:val="0"/>
      <w:marBottom w:val="0"/>
      <w:divBdr>
        <w:top w:val="none" w:sz="0" w:space="0" w:color="auto"/>
        <w:left w:val="none" w:sz="0" w:space="0" w:color="auto"/>
        <w:bottom w:val="none" w:sz="0" w:space="0" w:color="auto"/>
        <w:right w:val="none" w:sz="0" w:space="0" w:color="auto"/>
      </w:divBdr>
    </w:div>
    <w:div w:id="1537356235">
      <w:bodyDiv w:val="1"/>
      <w:marLeft w:val="0"/>
      <w:marRight w:val="0"/>
      <w:marTop w:val="0"/>
      <w:marBottom w:val="0"/>
      <w:divBdr>
        <w:top w:val="none" w:sz="0" w:space="0" w:color="auto"/>
        <w:left w:val="none" w:sz="0" w:space="0" w:color="auto"/>
        <w:bottom w:val="none" w:sz="0" w:space="0" w:color="auto"/>
        <w:right w:val="none" w:sz="0" w:space="0" w:color="auto"/>
      </w:divBdr>
      <w:divsChild>
        <w:div w:id="894505727">
          <w:marLeft w:val="0"/>
          <w:marRight w:val="0"/>
          <w:marTop w:val="0"/>
          <w:marBottom w:val="0"/>
          <w:divBdr>
            <w:top w:val="none" w:sz="0" w:space="0" w:color="auto"/>
            <w:left w:val="none" w:sz="0" w:space="0" w:color="auto"/>
            <w:bottom w:val="none" w:sz="0" w:space="0" w:color="auto"/>
            <w:right w:val="none" w:sz="0" w:space="0" w:color="auto"/>
          </w:divBdr>
          <w:divsChild>
            <w:div w:id="861209908">
              <w:marLeft w:val="0"/>
              <w:marRight w:val="0"/>
              <w:marTop w:val="0"/>
              <w:marBottom w:val="0"/>
              <w:divBdr>
                <w:top w:val="single" w:sz="18" w:space="0" w:color="4C4C4E"/>
                <w:left w:val="single" w:sz="6" w:space="0" w:color="CCCCCC"/>
                <w:bottom w:val="single" w:sz="6" w:space="0" w:color="CCCCCC"/>
                <w:right w:val="none" w:sz="0" w:space="0" w:color="auto"/>
              </w:divBdr>
              <w:divsChild>
                <w:div w:id="889612377">
                  <w:marLeft w:val="0"/>
                  <w:marRight w:val="0"/>
                  <w:marTop w:val="0"/>
                  <w:marBottom w:val="0"/>
                  <w:divBdr>
                    <w:top w:val="none" w:sz="0" w:space="0" w:color="auto"/>
                    <w:left w:val="none" w:sz="0" w:space="0" w:color="auto"/>
                    <w:bottom w:val="none" w:sz="0" w:space="0" w:color="auto"/>
                    <w:right w:val="single" w:sz="6" w:space="8" w:color="EEEEEE"/>
                  </w:divBdr>
                </w:div>
              </w:divsChild>
            </w:div>
          </w:divsChild>
        </w:div>
      </w:divsChild>
    </w:div>
    <w:div w:id="1645742402">
      <w:bodyDiv w:val="1"/>
      <w:marLeft w:val="0"/>
      <w:marRight w:val="0"/>
      <w:marTop w:val="0"/>
      <w:marBottom w:val="0"/>
      <w:divBdr>
        <w:top w:val="none" w:sz="0" w:space="0" w:color="auto"/>
        <w:left w:val="none" w:sz="0" w:space="0" w:color="auto"/>
        <w:bottom w:val="none" w:sz="0" w:space="0" w:color="auto"/>
        <w:right w:val="none" w:sz="0" w:space="0" w:color="auto"/>
      </w:divBdr>
    </w:div>
    <w:div w:id="1854025109">
      <w:bodyDiv w:val="1"/>
      <w:marLeft w:val="0"/>
      <w:marRight w:val="0"/>
      <w:marTop w:val="0"/>
      <w:marBottom w:val="0"/>
      <w:divBdr>
        <w:top w:val="none" w:sz="0" w:space="0" w:color="auto"/>
        <w:left w:val="none" w:sz="0" w:space="0" w:color="auto"/>
        <w:bottom w:val="none" w:sz="0" w:space="0" w:color="auto"/>
        <w:right w:val="none" w:sz="0" w:space="0" w:color="auto"/>
      </w:divBdr>
      <w:divsChild>
        <w:div w:id="2132556073">
          <w:marLeft w:val="0"/>
          <w:marRight w:val="0"/>
          <w:marTop w:val="0"/>
          <w:marBottom w:val="0"/>
          <w:divBdr>
            <w:top w:val="none" w:sz="0" w:space="0" w:color="auto"/>
            <w:left w:val="none" w:sz="0" w:space="0" w:color="auto"/>
            <w:bottom w:val="none" w:sz="0" w:space="0" w:color="auto"/>
            <w:right w:val="none" w:sz="0" w:space="0" w:color="auto"/>
          </w:divBdr>
          <w:divsChild>
            <w:div w:id="461194702">
              <w:marLeft w:val="0"/>
              <w:marRight w:val="0"/>
              <w:marTop w:val="0"/>
              <w:marBottom w:val="0"/>
              <w:divBdr>
                <w:top w:val="none" w:sz="0" w:space="0" w:color="auto"/>
                <w:left w:val="single" w:sz="6" w:space="0" w:color="999999"/>
                <w:bottom w:val="single" w:sz="6" w:space="0" w:color="999999"/>
                <w:right w:val="single" w:sz="6" w:space="0" w:color="999999"/>
              </w:divBdr>
              <w:divsChild>
                <w:div w:id="1604145222">
                  <w:marLeft w:val="0"/>
                  <w:marRight w:val="0"/>
                  <w:marTop w:val="0"/>
                  <w:marBottom w:val="0"/>
                  <w:divBdr>
                    <w:top w:val="none" w:sz="0" w:space="0" w:color="auto"/>
                    <w:left w:val="none" w:sz="0" w:space="0" w:color="auto"/>
                    <w:bottom w:val="none" w:sz="0" w:space="0" w:color="auto"/>
                    <w:right w:val="none" w:sz="0" w:space="0" w:color="auto"/>
                  </w:divBdr>
                  <w:divsChild>
                    <w:div w:id="1683824278">
                      <w:marLeft w:val="0"/>
                      <w:marRight w:val="0"/>
                      <w:marTop w:val="0"/>
                      <w:marBottom w:val="0"/>
                      <w:divBdr>
                        <w:top w:val="none" w:sz="0" w:space="0" w:color="auto"/>
                        <w:left w:val="none" w:sz="0" w:space="0" w:color="auto"/>
                        <w:bottom w:val="none" w:sz="0" w:space="0" w:color="auto"/>
                        <w:right w:val="none" w:sz="0" w:space="0" w:color="auto"/>
                      </w:divBdr>
                      <w:divsChild>
                        <w:div w:id="130338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611531">
      <w:bodyDiv w:val="1"/>
      <w:marLeft w:val="0"/>
      <w:marRight w:val="0"/>
      <w:marTop w:val="0"/>
      <w:marBottom w:val="0"/>
      <w:divBdr>
        <w:top w:val="none" w:sz="0" w:space="0" w:color="auto"/>
        <w:left w:val="none" w:sz="0" w:space="0" w:color="auto"/>
        <w:bottom w:val="none" w:sz="0" w:space="0" w:color="auto"/>
        <w:right w:val="none" w:sz="0" w:space="0" w:color="auto"/>
      </w:divBdr>
    </w:div>
    <w:div w:id="1890413347">
      <w:bodyDiv w:val="1"/>
      <w:marLeft w:val="0"/>
      <w:marRight w:val="0"/>
      <w:marTop w:val="0"/>
      <w:marBottom w:val="0"/>
      <w:divBdr>
        <w:top w:val="none" w:sz="0" w:space="0" w:color="auto"/>
        <w:left w:val="none" w:sz="0" w:space="0" w:color="auto"/>
        <w:bottom w:val="none" w:sz="0" w:space="0" w:color="auto"/>
        <w:right w:val="none" w:sz="0" w:space="0" w:color="auto"/>
      </w:divBdr>
    </w:div>
    <w:div w:id="1958179197">
      <w:bodyDiv w:val="1"/>
      <w:marLeft w:val="0"/>
      <w:marRight w:val="0"/>
      <w:marTop w:val="0"/>
      <w:marBottom w:val="0"/>
      <w:divBdr>
        <w:top w:val="none" w:sz="0" w:space="0" w:color="auto"/>
        <w:left w:val="none" w:sz="0" w:space="0" w:color="auto"/>
        <w:bottom w:val="none" w:sz="0" w:space="0" w:color="auto"/>
        <w:right w:val="none" w:sz="0" w:space="0" w:color="auto"/>
      </w:divBdr>
    </w:div>
    <w:div w:id="2034767218">
      <w:bodyDiv w:val="1"/>
      <w:marLeft w:val="0"/>
      <w:marRight w:val="0"/>
      <w:marTop w:val="0"/>
      <w:marBottom w:val="0"/>
      <w:divBdr>
        <w:top w:val="none" w:sz="0" w:space="0" w:color="auto"/>
        <w:left w:val="none" w:sz="0" w:space="0" w:color="auto"/>
        <w:bottom w:val="none" w:sz="0" w:space="0" w:color="auto"/>
        <w:right w:val="none" w:sz="0" w:space="0" w:color="auto"/>
      </w:divBdr>
    </w:div>
    <w:div w:id="2048943411">
      <w:bodyDiv w:val="1"/>
      <w:marLeft w:val="0"/>
      <w:marRight w:val="0"/>
      <w:marTop w:val="0"/>
      <w:marBottom w:val="0"/>
      <w:divBdr>
        <w:top w:val="none" w:sz="0" w:space="0" w:color="auto"/>
        <w:left w:val="none" w:sz="0" w:space="0" w:color="auto"/>
        <w:bottom w:val="none" w:sz="0" w:space="0" w:color="auto"/>
        <w:right w:val="none" w:sz="0" w:space="0" w:color="auto"/>
      </w:divBdr>
      <w:divsChild>
        <w:div w:id="1216283938">
          <w:marLeft w:val="0"/>
          <w:marRight w:val="0"/>
          <w:marTop w:val="0"/>
          <w:marBottom w:val="0"/>
          <w:divBdr>
            <w:top w:val="none" w:sz="0" w:space="0" w:color="auto"/>
            <w:left w:val="none" w:sz="0" w:space="0" w:color="auto"/>
            <w:bottom w:val="none" w:sz="0" w:space="0" w:color="auto"/>
            <w:right w:val="none" w:sz="0" w:space="0" w:color="auto"/>
          </w:divBdr>
          <w:divsChild>
            <w:div w:id="1218784257">
              <w:marLeft w:val="0"/>
              <w:marRight w:val="0"/>
              <w:marTop w:val="0"/>
              <w:marBottom w:val="0"/>
              <w:divBdr>
                <w:top w:val="none" w:sz="0" w:space="0" w:color="auto"/>
                <w:left w:val="single" w:sz="6" w:space="0" w:color="999999"/>
                <w:bottom w:val="single" w:sz="6" w:space="0" w:color="999999"/>
                <w:right w:val="single" w:sz="6" w:space="0" w:color="999999"/>
              </w:divBdr>
              <w:divsChild>
                <w:div w:id="199172687">
                  <w:marLeft w:val="0"/>
                  <w:marRight w:val="0"/>
                  <w:marTop w:val="0"/>
                  <w:marBottom w:val="0"/>
                  <w:divBdr>
                    <w:top w:val="none" w:sz="0" w:space="0" w:color="auto"/>
                    <w:left w:val="none" w:sz="0" w:space="0" w:color="auto"/>
                    <w:bottom w:val="none" w:sz="0" w:space="0" w:color="auto"/>
                    <w:right w:val="none" w:sz="0" w:space="0" w:color="auto"/>
                  </w:divBdr>
                  <w:divsChild>
                    <w:div w:id="658535949">
                      <w:marLeft w:val="0"/>
                      <w:marRight w:val="0"/>
                      <w:marTop w:val="0"/>
                      <w:marBottom w:val="0"/>
                      <w:divBdr>
                        <w:top w:val="none" w:sz="0" w:space="0" w:color="auto"/>
                        <w:left w:val="none" w:sz="0" w:space="0" w:color="auto"/>
                        <w:bottom w:val="none" w:sz="0" w:space="0" w:color="auto"/>
                        <w:right w:val="none" w:sz="0" w:space="0" w:color="auto"/>
                      </w:divBdr>
                      <w:divsChild>
                        <w:div w:id="6937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549916">
      <w:bodyDiv w:val="1"/>
      <w:marLeft w:val="0"/>
      <w:marRight w:val="0"/>
      <w:marTop w:val="0"/>
      <w:marBottom w:val="0"/>
      <w:divBdr>
        <w:top w:val="none" w:sz="0" w:space="0" w:color="auto"/>
        <w:left w:val="none" w:sz="0" w:space="0" w:color="auto"/>
        <w:bottom w:val="none" w:sz="0" w:space="0" w:color="auto"/>
        <w:right w:val="none" w:sz="0" w:space="0" w:color="auto"/>
      </w:divBdr>
    </w:div>
    <w:div w:id="21431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3</Pages>
  <Words>454</Words>
  <Characters>2588</Characters>
  <Application>Microsoft Office Word</Application>
  <DocSecurity>0</DocSecurity>
  <Lines>21</Lines>
  <Paragraphs>6</Paragraphs>
  <ScaleCrop>false</ScaleCrop>
  <Company>微软中国</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济安金信新基金介绍</dc:title>
  <dc:creator>微软用户</dc:creator>
  <cp:lastModifiedBy>shixi</cp:lastModifiedBy>
  <cp:revision>19</cp:revision>
  <cp:lastPrinted>2012-10-29T02:59:00Z</cp:lastPrinted>
  <dcterms:created xsi:type="dcterms:W3CDTF">2012-11-26T04:00:00Z</dcterms:created>
  <dcterms:modified xsi:type="dcterms:W3CDTF">2012-12-10T03:59:00Z</dcterms:modified>
</cp:coreProperties>
</file>