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AEEF3"/>
  <w:body>
    <w:p w:rsidR="00914540" w:rsidRDefault="00232E18">
      <w:r>
        <w:rPr>
          <w:noProof/>
        </w:rPr>
        <w:pict>
          <v:shapetype id="_x0000_t202" coordsize="21600,21600" o:spt="202" path="m,l,21600r21600,l21600,xe">
            <v:stroke joinstyle="miter"/>
            <v:path gradientshapeok="t" o:connecttype="rect"/>
          </v:shapetype>
          <v:shape id="_x0000_s1032" type="#_x0000_t202" style="position:absolute;left:0;text-align:left;margin-left:-1in;margin-top:6.9pt;width:3in;height:35.85pt;z-index:251657216" filled="f" stroked="f">
            <v:textbox style="mso-next-textbox:#_x0000_s1032">
              <w:txbxContent>
                <w:p w:rsidR="006606DF" w:rsidRPr="00547AE1" w:rsidRDefault="006606DF">
                  <w:pPr>
                    <w:rPr>
                      <w:color w:val="FFFFFF"/>
                      <w:sz w:val="36"/>
                      <w:szCs w:val="36"/>
                    </w:rPr>
                  </w:pPr>
                  <w:r>
                    <w:rPr>
                      <w:rFonts w:ascii="黑体" w:eastAsia="黑体" w:hAnsi="黑体" w:hint="eastAsia"/>
                      <w:bCs/>
                      <w:color w:val="FFFFFF"/>
                      <w:sz w:val="36"/>
                      <w:szCs w:val="36"/>
                    </w:rPr>
                    <w:t>济安金信</w:t>
                  </w:r>
                  <w:r w:rsidR="006F0BD6">
                    <w:rPr>
                      <w:rFonts w:ascii="黑体" w:eastAsia="黑体" w:hAnsi="黑体" w:hint="eastAsia"/>
                      <w:bCs/>
                      <w:color w:val="FFFFFF"/>
                      <w:sz w:val="36"/>
                      <w:szCs w:val="36"/>
                    </w:rPr>
                    <w:t>封闭式</w:t>
                  </w:r>
                  <w:r>
                    <w:rPr>
                      <w:rFonts w:ascii="黑体" w:eastAsia="黑体" w:hAnsi="黑体" w:hint="eastAsia"/>
                      <w:bCs/>
                      <w:color w:val="FFFFFF"/>
                      <w:sz w:val="36"/>
                      <w:szCs w:val="36"/>
                    </w:rPr>
                    <w:t>基金周报</w:t>
                  </w:r>
                </w:p>
              </w:txbxContent>
            </v:textbox>
          </v:shape>
        </w:pict>
      </w:r>
      <w:r>
        <w:rPr>
          <w:noProof/>
        </w:rPr>
        <w:pict>
          <v:shape id="_x0000_s1035" type="#_x0000_t202" style="position:absolute;left:0;text-align:left;margin-left:-1in;margin-top:57.6pt;width:153pt;height:23.4pt;z-index:251659264" filled="f" stroked="f">
            <v:textbox style="mso-next-textbox:#_x0000_s1035">
              <w:txbxContent>
                <w:p w:rsidR="006606DF" w:rsidRPr="008036A3" w:rsidRDefault="006606DF">
                  <w:pPr>
                    <w:rPr>
                      <w:color w:val="FFFFFF"/>
                      <w:sz w:val="18"/>
                      <w:szCs w:val="18"/>
                    </w:rPr>
                  </w:pPr>
                  <w:r>
                    <w:rPr>
                      <w:rFonts w:hint="eastAsia"/>
                      <w:color w:val="FFFFFF"/>
                      <w:sz w:val="18"/>
                      <w:szCs w:val="18"/>
                    </w:rPr>
                    <w:t>201</w:t>
                  </w:r>
                  <w:r w:rsidR="00B74D2D">
                    <w:rPr>
                      <w:rFonts w:hint="eastAsia"/>
                      <w:color w:val="FFFFFF"/>
                      <w:sz w:val="18"/>
                      <w:szCs w:val="18"/>
                    </w:rPr>
                    <w:t>2</w:t>
                  </w:r>
                  <w:r>
                    <w:rPr>
                      <w:rFonts w:hint="eastAsia"/>
                      <w:color w:val="FFFFFF"/>
                      <w:sz w:val="18"/>
                      <w:szCs w:val="18"/>
                    </w:rPr>
                    <w:t>年</w:t>
                  </w:r>
                  <w:r w:rsidR="00E468A3">
                    <w:rPr>
                      <w:rFonts w:hint="eastAsia"/>
                      <w:color w:val="FFFFFF"/>
                      <w:sz w:val="18"/>
                      <w:szCs w:val="18"/>
                    </w:rPr>
                    <w:t>1</w:t>
                  </w:r>
                  <w:r w:rsidR="000B23DD">
                    <w:rPr>
                      <w:rFonts w:hint="eastAsia"/>
                      <w:color w:val="FFFFFF"/>
                      <w:sz w:val="18"/>
                      <w:szCs w:val="18"/>
                    </w:rPr>
                    <w:t>1</w:t>
                  </w:r>
                  <w:r>
                    <w:rPr>
                      <w:rFonts w:hint="eastAsia"/>
                      <w:color w:val="FFFFFF"/>
                      <w:sz w:val="18"/>
                      <w:szCs w:val="18"/>
                    </w:rPr>
                    <w:t>月</w:t>
                  </w:r>
                  <w:r w:rsidR="00A75013">
                    <w:rPr>
                      <w:rFonts w:hint="eastAsia"/>
                      <w:color w:val="FFFFFF"/>
                      <w:sz w:val="18"/>
                      <w:szCs w:val="18"/>
                    </w:rPr>
                    <w:t>09</w:t>
                  </w:r>
                  <w:r>
                    <w:rPr>
                      <w:rFonts w:hint="eastAsia"/>
                      <w:color w:val="FFFFFF"/>
                      <w:sz w:val="18"/>
                      <w:szCs w:val="18"/>
                    </w:rPr>
                    <w:t>日星期五</w:t>
                  </w:r>
                </w:p>
              </w:txbxContent>
            </v:textbox>
          </v:shape>
        </w:pict>
      </w:r>
      <w:r>
        <w:rPr>
          <w:noProof/>
        </w:rPr>
        <w:pict>
          <v:shape id="_x0000_s1038" type="#_x0000_t202" style="position:absolute;left:0;text-align:left;margin-left:-89.85pt;margin-top:55.95pt;width:603pt;height:23.4pt;z-index:251658240" fillcolor="#0a71a8" stroked="f">
            <v:fill rotate="t" angle="-90" focus="100%" type="gradient"/>
            <v:textbox style="mso-next-textbox:#_x0000_s1038">
              <w:txbxContent>
                <w:p w:rsidR="006606DF" w:rsidRDefault="006606DF"/>
              </w:txbxContent>
            </v:textbox>
          </v:shape>
        </w:pict>
      </w:r>
      <w:r>
        <w:rPr>
          <w:noProof/>
        </w:rPr>
        <w:pict>
          <v:shape id="_x0000_s1028" type="#_x0000_t202" style="position:absolute;left:0;text-align:left;margin-left:-89.85pt;margin-top:10.8pt;width:612pt;height:31.95pt;z-index:251656192" fillcolor="#0a71a8" stroked="f" strokecolor="blue" strokeweight="0">
            <v:textbox style="mso-next-textbox:#_x0000_s1028">
              <w:txbxContent>
                <w:p w:rsidR="006606DF" w:rsidRPr="00547AE1" w:rsidRDefault="006606DF" w:rsidP="00547AE1"/>
              </w:txbxContent>
            </v:textbox>
          </v:shape>
        </w:pict>
      </w:r>
    </w:p>
    <w:p w:rsidR="00914540" w:rsidRPr="00914540" w:rsidRDefault="00914540" w:rsidP="00914540"/>
    <w:p w:rsidR="00914540" w:rsidRPr="00914540" w:rsidRDefault="00914540" w:rsidP="00914540"/>
    <w:p w:rsidR="00914540" w:rsidRPr="00914540" w:rsidRDefault="00914540" w:rsidP="00914540"/>
    <w:p w:rsidR="00F060F6" w:rsidRPr="005C566F" w:rsidRDefault="00F060F6" w:rsidP="00EB7808">
      <w:pPr>
        <w:spacing w:beforeLines="50" w:afterLines="50" w:line="360" w:lineRule="exact"/>
        <w:outlineLvl w:val="0"/>
        <w:rPr>
          <w:b/>
          <w:sz w:val="32"/>
          <w:szCs w:val="32"/>
        </w:rPr>
      </w:pPr>
    </w:p>
    <w:p w:rsidR="00F060F6" w:rsidRPr="00267B9A" w:rsidRDefault="006F0BD6" w:rsidP="00EB7808">
      <w:pPr>
        <w:spacing w:beforeLines="50" w:afterLines="50" w:line="360" w:lineRule="exact"/>
        <w:jc w:val="center"/>
        <w:outlineLvl w:val="0"/>
        <w:rPr>
          <w:rFonts w:ascii="宋体" w:hAnsi="宋体"/>
          <w:b/>
          <w:sz w:val="32"/>
          <w:szCs w:val="32"/>
        </w:rPr>
      </w:pPr>
      <w:r w:rsidRPr="00267B9A">
        <w:rPr>
          <w:rFonts w:ascii="宋体" w:hAnsi="宋体" w:hint="eastAsia"/>
          <w:b/>
          <w:sz w:val="32"/>
          <w:szCs w:val="32"/>
        </w:rPr>
        <w:t>济安封闭式基金周报</w:t>
      </w:r>
      <w:r w:rsidRPr="00C73773">
        <w:rPr>
          <w:rFonts w:hAnsi="宋体"/>
          <w:b/>
          <w:sz w:val="32"/>
          <w:szCs w:val="32"/>
        </w:rPr>
        <w:t>（</w:t>
      </w:r>
      <w:r w:rsidR="00A75013">
        <w:rPr>
          <w:rFonts w:hAnsi="宋体" w:hint="eastAsia"/>
          <w:b/>
          <w:sz w:val="32"/>
          <w:szCs w:val="32"/>
        </w:rPr>
        <w:t>11</w:t>
      </w:r>
      <w:r w:rsidR="00E468A3">
        <w:rPr>
          <w:rFonts w:hAnsi="宋体" w:hint="eastAsia"/>
          <w:b/>
          <w:sz w:val="32"/>
          <w:szCs w:val="32"/>
        </w:rPr>
        <w:t>.</w:t>
      </w:r>
      <w:r w:rsidR="00A75013">
        <w:rPr>
          <w:rFonts w:hAnsi="宋体" w:hint="eastAsia"/>
          <w:b/>
          <w:sz w:val="32"/>
          <w:szCs w:val="32"/>
        </w:rPr>
        <w:t>05</w:t>
      </w:r>
      <w:r w:rsidRPr="00C73773">
        <w:rPr>
          <w:b/>
          <w:sz w:val="32"/>
          <w:szCs w:val="32"/>
        </w:rPr>
        <w:t>—</w:t>
      </w:r>
      <w:r w:rsidR="00E468A3">
        <w:rPr>
          <w:rFonts w:hint="eastAsia"/>
          <w:b/>
          <w:sz w:val="32"/>
          <w:szCs w:val="32"/>
        </w:rPr>
        <w:t>1</w:t>
      </w:r>
      <w:r w:rsidR="000B23DD">
        <w:rPr>
          <w:rFonts w:hint="eastAsia"/>
          <w:b/>
          <w:sz w:val="32"/>
          <w:szCs w:val="32"/>
        </w:rPr>
        <w:t>1</w:t>
      </w:r>
      <w:r w:rsidR="00E468A3">
        <w:rPr>
          <w:rFonts w:hint="eastAsia"/>
          <w:b/>
          <w:sz w:val="32"/>
          <w:szCs w:val="32"/>
        </w:rPr>
        <w:t>.</w:t>
      </w:r>
      <w:r w:rsidR="000B23DD">
        <w:rPr>
          <w:rFonts w:hint="eastAsia"/>
          <w:b/>
          <w:sz w:val="32"/>
          <w:szCs w:val="32"/>
        </w:rPr>
        <w:t>0</w:t>
      </w:r>
      <w:r w:rsidR="00A75013">
        <w:rPr>
          <w:rFonts w:hint="eastAsia"/>
          <w:b/>
          <w:sz w:val="32"/>
          <w:szCs w:val="32"/>
        </w:rPr>
        <w:t>9</w:t>
      </w:r>
      <w:r w:rsidRPr="00C73773">
        <w:rPr>
          <w:rFonts w:hAnsi="宋体"/>
          <w:b/>
          <w:sz w:val="32"/>
          <w:szCs w:val="32"/>
        </w:rPr>
        <w:t>）</w:t>
      </w:r>
    </w:p>
    <w:p w:rsidR="00F060F6" w:rsidRPr="007E168D" w:rsidRDefault="00F060F6" w:rsidP="00EB7808">
      <w:pPr>
        <w:spacing w:beforeLines="50" w:afterLines="50" w:line="360" w:lineRule="exact"/>
        <w:outlineLvl w:val="0"/>
        <w:rPr>
          <w:b/>
          <w:sz w:val="24"/>
        </w:rPr>
      </w:pPr>
    </w:p>
    <w:p w:rsidR="00EB7808" w:rsidRDefault="00EB7808" w:rsidP="00651A9F">
      <w:pPr>
        <w:ind w:firstLineChars="200" w:firstLine="400"/>
        <w:rPr>
          <w:rFonts w:ascii="宋体" w:hAnsi="宋体"/>
          <w:szCs w:val="21"/>
        </w:rPr>
      </w:pPr>
      <w:r w:rsidRPr="003E6F25">
        <w:rPr>
          <w:rFonts w:ascii="宋体" w:hAnsi="宋体" w:hint="eastAsia"/>
          <w:color w:val="000000"/>
          <w:szCs w:val="21"/>
        </w:rPr>
        <w:t>本周股票二级市场全线下跌，沪深指数、创业板指数、中证500指数均收绿</w:t>
      </w:r>
      <w:r>
        <w:rPr>
          <w:rFonts w:ascii="宋体" w:hAnsi="宋体" w:hint="eastAsia"/>
          <w:color w:val="000000"/>
          <w:szCs w:val="21"/>
        </w:rPr>
        <w:t>。</w:t>
      </w:r>
      <w:r w:rsidRPr="003E6F25">
        <w:rPr>
          <w:rFonts w:ascii="宋体" w:hAnsi="宋体" w:hint="eastAsia"/>
          <w:color w:val="000000"/>
          <w:szCs w:val="21"/>
        </w:rPr>
        <w:t>本周公布的10月宏观数据同比与环比均回暖，市场</w:t>
      </w:r>
      <w:proofErr w:type="gramStart"/>
      <w:r w:rsidRPr="003E6F25">
        <w:rPr>
          <w:rFonts w:ascii="宋体" w:hAnsi="宋体" w:hint="eastAsia"/>
          <w:color w:val="000000"/>
          <w:szCs w:val="21"/>
        </w:rPr>
        <w:t>收跌更多</w:t>
      </w:r>
      <w:proofErr w:type="gramEnd"/>
      <w:r w:rsidRPr="003E6F25">
        <w:rPr>
          <w:rFonts w:ascii="宋体" w:hAnsi="宋体" w:hint="eastAsia"/>
          <w:color w:val="000000"/>
          <w:szCs w:val="21"/>
        </w:rPr>
        <w:t>表现为市场行为，同时也显示出短期上涨动力不足，市场依然以结构行情为主。</w:t>
      </w:r>
      <w:proofErr w:type="gramStart"/>
      <w:r w:rsidRPr="0041598D">
        <w:rPr>
          <w:rFonts w:ascii="宋体" w:hAnsi="宋体" w:hint="eastAsia"/>
          <w:szCs w:val="21"/>
        </w:rPr>
        <w:t>除企债指数</w:t>
      </w:r>
      <w:proofErr w:type="gramEnd"/>
      <w:r w:rsidRPr="0041598D">
        <w:rPr>
          <w:rFonts w:ascii="宋体" w:hAnsi="宋体" w:hint="eastAsia"/>
          <w:szCs w:val="21"/>
        </w:rPr>
        <w:t>外</w:t>
      </w:r>
      <w:r w:rsidRPr="0041598D">
        <w:rPr>
          <w:rFonts w:hint="eastAsia"/>
          <w:szCs w:val="21"/>
        </w:rPr>
        <w:t>基本</w:t>
      </w:r>
      <w:r w:rsidRPr="0041598D">
        <w:rPr>
          <w:rFonts w:ascii="宋体" w:hAnsi="宋体" w:hint="eastAsia"/>
          <w:szCs w:val="21"/>
        </w:rPr>
        <w:t>指数全线飘</w:t>
      </w:r>
      <w:r>
        <w:rPr>
          <w:rFonts w:ascii="宋体" w:hAnsi="宋体" w:hint="eastAsia"/>
          <w:szCs w:val="21"/>
        </w:rPr>
        <w:t>绿</w:t>
      </w:r>
      <w:r w:rsidRPr="0041598D">
        <w:rPr>
          <w:rFonts w:ascii="宋体" w:hAnsi="宋体" w:hint="eastAsia"/>
          <w:szCs w:val="21"/>
        </w:rPr>
        <w:t>。上</w:t>
      </w:r>
      <w:r w:rsidRPr="00770E33">
        <w:rPr>
          <w:rFonts w:ascii="宋体" w:hAnsi="宋体" w:hint="eastAsia"/>
          <w:szCs w:val="21"/>
        </w:rPr>
        <w:t>证指数收于2</w:t>
      </w:r>
      <w:r>
        <w:rPr>
          <w:rFonts w:ascii="宋体" w:hAnsi="宋体" w:hint="eastAsia"/>
          <w:szCs w:val="21"/>
        </w:rPr>
        <w:t>069.07</w:t>
      </w:r>
      <w:r w:rsidRPr="00770E33">
        <w:rPr>
          <w:rFonts w:ascii="宋体" w:hAnsi="宋体" w:hint="eastAsia"/>
          <w:szCs w:val="21"/>
        </w:rPr>
        <w:t>点，</w:t>
      </w:r>
      <w:r>
        <w:rPr>
          <w:rFonts w:ascii="宋体" w:hAnsi="宋体" w:hint="eastAsia"/>
          <w:szCs w:val="21"/>
        </w:rPr>
        <w:t>下跌2.27</w:t>
      </w:r>
      <w:r w:rsidRPr="00770E33">
        <w:rPr>
          <w:rFonts w:ascii="宋体" w:hAnsi="宋体" w:hint="eastAsia"/>
          <w:szCs w:val="21"/>
        </w:rPr>
        <w:t>%，深证成指收于8</w:t>
      </w:r>
      <w:r>
        <w:rPr>
          <w:rFonts w:ascii="宋体" w:hAnsi="宋体" w:hint="eastAsia"/>
          <w:szCs w:val="21"/>
        </w:rPr>
        <w:t>356.67</w:t>
      </w:r>
      <w:r w:rsidRPr="00770E33">
        <w:rPr>
          <w:rFonts w:ascii="宋体" w:hAnsi="宋体" w:hint="eastAsia"/>
          <w:szCs w:val="21"/>
        </w:rPr>
        <w:t>点，</w:t>
      </w:r>
      <w:r>
        <w:rPr>
          <w:rFonts w:ascii="宋体" w:hAnsi="宋体" w:hint="eastAsia"/>
          <w:szCs w:val="21"/>
        </w:rPr>
        <w:t>下跌3.72</w:t>
      </w:r>
      <w:r w:rsidRPr="00770E33">
        <w:rPr>
          <w:rFonts w:ascii="宋体" w:hAnsi="宋体"/>
          <w:szCs w:val="21"/>
        </w:rPr>
        <w:t>%</w:t>
      </w:r>
      <w:r w:rsidRPr="00770E33">
        <w:rPr>
          <w:rFonts w:ascii="宋体" w:hAnsi="宋体" w:hint="eastAsia"/>
          <w:szCs w:val="21"/>
        </w:rPr>
        <w:t>。国债指数收于</w:t>
      </w:r>
      <w:r w:rsidRPr="00770E33">
        <w:rPr>
          <w:rFonts w:ascii="宋体" w:hAnsi="宋体"/>
          <w:szCs w:val="21"/>
        </w:rPr>
        <w:t>13</w:t>
      </w:r>
      <w:r w:rsidRPr="00770E33">
        <w:rPr>
          <w:rFonts w:ascii="宋体" w:hAnsi="宋体" w:hint="eastAsia"/>
          <w:szCs w:val="21"/>
        </w:rPr>
        <w:t>5.</w:t>
      </w:r>
      <w:r>
        <w:rPr>
          <w:rFonts w:ascii="宋体" w:hAnsi="宋体" w:hint="eastAsia"/>
          <w:szCs w:val="21"/>
        </w:rPr>
        <w:t>29</w:t>
      </w:r>
      <w:r w:rsidRPr="00770E33">
        <w:rPr>
          <w:rFonts w:ascii="宋体" w:hAnsi="宋体" w:hint="eastAsia"/>
          <w:szCs w:val="21"/>
        </w:rPr>
        <w:t>点，上涨0.0</w:t>
      </w:r>
      <w:r>
        <w:rPr>
          <w:rFonts w:ascii="宋体" w:hAnsi="宋体" w:hint="eastAsia"/>
          <w:szCs w:val="21"/>
        </w:rPr>
        <w:t>7</w:t>
      </w:r>
      <w:r w:rsidRPr="00770E33">
        <w:rPr>
          <w:rFonts w:ascii="宋体" w:hAnsi="宋体" w:hint="eastAsia"/>
          <w:szCs w:val="21"/>
        </w:rPr>
        <w:t>%，企</w:t>
      </w:r>
      <w:proofErr w:type="gramStart"/>
      <w:r w:rsidRPr="00770E33">
        <w:rPr>
          <w:rFonts w:ascii="宋体" w:hAnsi="宋体" w:hint="eastAsia"/>
          <w:szCs w:val="21"/>
        </w:rPr>
        <w:t>债指数</w:t>
      </w:r>
      <w:proofErr w:type="gramEnd"/>
      <w:r w:rsidRPr="00770E33">
        <w:rPr>
          <w:rFonts w:ascii="宋体" w:hAnsi="宋体" w:hint="eastAsia"/>
          <w:szCs w:val="21"/>
        </w:rPr>
        <w:t>收于</w:t>
      </w:r>
      <w:r w:rsidRPr="00770E33">
        <w:rPr>
          <w:rFonts w:ascii="宋体" w:hAnsi="宋体"/>
          <w:szCs w:val="21"/>
        </w:rPr>
        <w:t>12</w:t>
      </w:r>
      <w:r w:rsidRPr="00770E33">
        <w:rPr>
          <w:rFonts w:ascii="宋体" w:hAnsi="宋体" w:hint="eastAsia"/>
          <w:szCs w:val="21"/>
        </w:rPr>
        <w:t>7.4</w:t>
      </w:r>
      <w:r>
        <w:rPr>
          <w:rFonts w:ascii="宋体" w:hAnsi="宋体" w:hint="eastAsia"/>
          <w:szCs w:val="21"/>
        </w:rPr>
        <w:t>2</w:t>
      </w:r>
      <w:r w:rsidRPr="00770E33">
        <w:rPr>
          <w:rFonts w:ascii="宋体" w:hAnsi="宋体" w:hint="eastAsia"/>
          <w:szCs w:val="21"/>
        </w:rPr>
        <w:t>点，</w:t>
      </w:r>
      <w:r>
        <w:rPr>
          <w:rFonts w:ascii="宋体" w:hAnsi="宋体" w:hint="eastAsia"/>
          <w:szCs w:val="21"/>
        </w:rPr>
        <w:t>与上期持平</w:t>
      </w:r>
      <w:r w:rsidRPr="00770E33">
        <w:rPr>
          <w:rFonts w:ascii="宋体" w:hAnsi="宋体" w:hint="eastAsia"/>
          <w:szCs w:val="21"/>
        </w:rPr>
        <w:t>。</w:t>
      </w:r>
      <w:r w:rsidRPr="00AA29AC">
        <w:rPr>
          <w:rFonts w:ascii="宋体" w:hAnsi="宋体" w:hint="eastAsia"/>
          <w:szCs w:val="21"/>
        </w:rPr>
        <w:t>从具有代表性</w:t>
      </w:r>
      <w:r w:rsidRPr="00D20B65">
        <w:rPr>
          <w:rFonts w:ascii="宋体" w:hAnsi="宋体" w:hint="eastAsia"/>
          <w:szCs w:val="21"/>
        </w:rPr>
        <w:t>的沪深300指数和中证500指数的表现来看，大市值板块</w:t>
      </w:r>
      <w:proofErr w:type="gramStart"/>
      <w:r w:rsidRPr="00D20B65">
        <w:rPr>
          <w:rFonts w:ascii="宋体" w:hAnsi="宋体" w:hint="eastAsia"/>
          <w:szCs w:val="21"/>
        </w:rPr>
        <w:t>个</w:t>
      </w:r>
      <w:proofErr w:type="gramEnd"/>
      <w:r w:rsidRPr="00D20B65">
        <w:rPr>
          <w:rFonts w:ascii="宋体" w:hAnsi="宋体" w:hint="eastAsia"/>
          <w:szCs w:val="21"/>
        </w:rPr>
        <w:t>股本</w:t>
      </w:r>
      <w:proofErr w:type="gramStart"/>
      <w:r w:rsidRPr="00D20B65">
        <w:rPr>
          <w:rFonts w:ascii="宋体" w:hAnsi="宋体" w:hint="eastAsia"/>
          <w:szCs w:val="21"/>
        </w:rPr>
        <w:t>周整体</w:t>
      </w:r>
      <w:proofErr w:type="gramEnd"/>
      <w:r w:rsidRPr="00D20B65">
        <w:rPr>
          <w:rFonts w:ascii="宋体" w:hAnsi="宋体" w:hint="eastAsia"/>
          <w:szCs w:val="21"/>
        </w:rPr>
        <w:t>表现略好于中小板行业</w:t>
      </w:r>
      <w:proofErr w:type="gramStart"/>
      <w:r w:rsidRPr="00D20B65">
        <w:rPr>
          <w:rFonts w:ascii="宋体" w:hAnsi="宋体" w:hint="eastAsia"/>
          <w:szCs w:val="21"/>
        </w:rPr>
        <w:t>个</w:t>
      </w:r>
      <w:proofErr w:type="gramEnd"/>
      <w:r w:rsidRPr="00D20B65">
        <w:rPr>
          <w:rFonts w:ascii="宋体" w:hAnsi="宋体" w:hint="eastAsia"/>
          <w:szCs w:val="21"/>
        </w:rPr>
        <w:t>股本周行情表现，沪深300</w:t>
      </w:r>
      <w:r>
        <w:rPr>
          <w:rFonts w:ascii="宋体" w:hAnsi="宋体" w:hint="eastAsia"/>
          <w:szCs w:val="21"/>
        </w:rPr>
        <w:t>跌</w:t>
      </w:r>
      <w:r w:rsidRPr="00D20B65">
        <w:rPr>
          <w:rFonts w:ascii="宋体" w:hAnsi="宋体" w:hint="eastAsia"/>
          <w:szCs w:val="21"/>
        </w:rPr>
        <w:t>幅为</w:t>
      </w:r>
      <w:r>
        <w:rPr>
          <w:rFonts w:ascii="宋体" w:hAnsi="宋体" w:hint="eastAsia"/>
          <w:szCs w:val="21"/>
        </w:rPr>
        <w:t>2</w:t>
      </w:r>
      <w:r w:rsidRPr="00D20B65">
        <w:rPr>
          <w:rFonts w:ascii="宋体" w:hAnsi="宋体" w:hint="eastAsia"/>
          <w:szCs w:val="21"/>
        </w:rPr>
        <w:t>.</w:t>
      </w:r>
      <w:r>
        <w:rPr>
          <w:rFonts w:ascii="宋体" w:hAnsi="宋体" w:hint="eastAsia"/>
          <w:szCs w:val="21"/>
        </w:rPr>
        <w:t>85</w:t>
      </w:r>
      <w:r w:rsidRPr="00D20B65">
        <w:rPr>
          <w:rFonts w:ascii="宋体" w:hAnsi="宋体" w:hint="eastAsia"/>
          <w:szCs w:val="21"/>
        </w:rPr>
        <w:t>%而中证500指数</w:t>
      </w:r>
      <w:r>
        <w:rPr>
          <w:rFonts w:ascii="宋体" w:hAnsi="宋体" w:hint="eastAsia"/>
          <w:szCs w:val="21"/>
        </w:rPr>
        <w:t>跌</w:t>
      </w:r>
      <w:r w:rsidRPr="00D20B65">
        <w:rPr>
          <w:rFonts w:ascii="宋体" w:hAnsi="宋体" w:hint="eastAsia"/>
          <w:szCs w:val="21"/>
        </w:rPr>
        <w:t>幅为</w:t>
      </w:r>
      <w:r>
        <w:rPr>
          <w:rFonts w:ascii="宋体" w:hAnsi="宋体" w:hint="eastAsia"/>
          <w:szCs w:val="21"/>
        </w:rPr>
        <w:t>4.08</w:t>
      </w:r>
      <w:r w:rsidRPr="00D20B65">
        <w:rPr>
          <w:rFonts w:ascii="宋体" w:hAnsi="宋体" w:hint="eastAsia"/>
          <w:szCs w:val="21"/>
        </w:rPr>
        <w:t>%。代表成长型走向较为突出的深</w:t>
      </w:r>
      <w:proofErr w:type="gramStart"/>
      <w:r w:rsidRPr="00D20B65">
        <w:rPr>
          <w:rFonts w:ascii="宋体" w:hAnsi="宋体" w:hint="eastAsia"/>
          <w:szCs w:val="21"/>
        </w:rPr>
        <w:t>证成长</w:t>
      </w:r>
      <w:proofErr w:type="gramEnd"/>
      <w:r w:rsidRPr="00D20B65">
        <w:rPr>
          <w:rFonts w:ascii="宋体" w:hAnsi="宋体" w:hint="eastAsia"/>
          <w:szCs w:val="21"/>
        </w:rPr>
        <w:t>40指数</w:t>
      </w:r>
      <w:r>
        <w:rPr>
          <w:rFonts w:ascii="宋体" w:hAnsi="宋体" w:hint="eastAsia"/>
          <w:szCs w:val="21"/>
        </w:rPr>
        <w:t>下跌4.47</w:t>
      </w:r>
      <w:r w:rsidRPr="00D20B65">
        <w:rPr>
          <w:rFonts w:ascii="宋体" w:hAnsi="宋体" w:hint="eastAsia"/>
          <w:szCs w:val="21"/>
        </w:rPr>
        <w:t>%，代表价值型走向的基本面50</w:t>
      </w:r>
      <w:r>
        <w:rPr>
          <w:rFonts w:ascii="宋体" w:hAnsi="宋体" w:hint="eastAsia"/>
          <w:szCs w:val="21"/>
        </w:rPr>
        <w:t>下跌1.81</w:t>
      </w:r>
      <w:r w:rsidRPr="00D20B65">
        <w:rPr>
          <w:rFonts w:ascii="宋体" w:hAnsi="宋体"/>
          <w:szCs w:val="21"/>
        </w:rPr>
        <w:t>%</w:t>
      </w:r>
      <w:r w:rsidRPr="00D20B65">
        <w:rPr>
          <w:rFonts w:ascii="宋体" w:hAnsi="宋体" w:hint="eastAsia"/>
          <w:szCs w:val="21"/>
        </w:rPr>
        <w:t>，具有价值风格走向的个股表现明显好于成长性的个股表现。</w:t>
      </w:r>
    </w:p>
    <w:p w:rsidR="00EB7808" w:rsidRDefault="00EB7808" w:rsidP="00454CD3">
      <w:pPr>
        <w:rPr>
          <w:rFonts w:ascii="宋体" w:hAnsi="宋体" w:hint="eastAsia"/>
          <w:szCs w:val="21"/>
        </w:rPr>
      </w:pPr>
      <w:r w:rsidRPr="00380B80">
        <w:rPr>
          <w:rFonts w:asciiTheme="minorEastAsia" w:eastAsiaTheme="minorEastAsia" w:hAnsiTheme="minorEastAsia" w:hint="eastAsia"/>
          <w:szCs w:val="21"/>
        </w:rPr>
        <w:t>从具体行业来看，21个证监会行业分类中</w:t>
      </w:r>
      <w:r w:rsidRPr="00380B80">
        <w:rPr>
          <w:rFonts w:ascii="宋体" w:hAnsi="宋体" w:hint="eastAsia"/>
          <w:szCs w:val="21"/>
        </w:rPr>
        <w:t>所有</w:t>
      </w:r>
      <w:r w:rsidRPr="00380B80">
        <w:rPr>
          <w:rFonts w:asciiTheme="minorEastAsia" w:eastAsiaTheme="minorEastAsia" w:hAnsiTheme="minorEastAsia" w:hint="eastAsia"/>
          <w:szCs w:val="21"/>
        </w:rPr>
        <w:t>行业全线</w:t>
      </w:r>
      <w:r>
        <w:rPr>
          <w:rFonts w:asciiTheme="minorEastAsia" w:eastAsiaTheme="minorEastAsia" w:hAnsiTheme="minorEastAsia" w:hint="eastAsia"/>
          <w:szCs w:val="21"/>
        </w:rPr>
        <w:t>下跌</w:t>
      </w:r>
      <w:r w:rsidRPr="00380B80">
        <w:rPr>
          <w:rFonts w:asciiTheme="minorEastAsia" w:eastAsiaTheme="minorEastAsia" w:hAnsiTheme="minorEastAsia" w:hint="eastAsia"/>
          <w:szCs w:val="21"/>
        </w:rPr>
        <w:t>，其中，</w:t>
      </w:r>
      <w:r>
        <w:rPr>
          <w:rFonts w:asciiTheme="minorEastAsia" w:eastAsiaTheme="minorEastAsia" w:hAnsiTheme="minorEastAsia" w:hint="eastAsia"/>
          <w:szCs w:val="21"/>
        </w:rPr>
        <w:t>综企</w:t>
      </w:r>
      <w:r w:rsidRPr="00380B80">
        <w:rPr>
          <w:rFonts w:asciiTheme="minorEastAsia" w:eastAsiaTheme="minorEastAsia" w:hAnsiTheme="minorEastAsia" w:hint="eastAsia"/>
          <w:szCs w:val="21"/>
        </w:rPr>
        <w:t>、</w:t>
      </w:r>
      <w:r>
        <w:rPr>
          <w:rFonts w:asciiTheme="minorEastAsia" w:eastAsiaTheme="minorEastAsia" w:hAnsiTheme="minorEastAsia" w:hint="eastAsia"/>
          <w:szCs w:val="21"/>
        </w:rPr>
        <w:t>公用</w:t>
      </w:r>
      <w:r w:rsidRPr="00380B80">
        <w:rPr>
          <w:rFonts w:asciiTheme="minorEastAsia" w:eastAsiaTheme="minorEastAsia" w:hAnsiTheme="minorEastAsia" w:hint="eastAsia"/>
          <w:szCs w:val="21"/>
        </w:rPr>
        <w:t>、</w:t>
      </w:r>
      <w:r>
        <w:rPr>
          <w:rFonts w:asciiTheme="minorEastAsia" w:eastAsiaTheme="minorEastAsia" w:hAnsiTheme="minorEastAsia" w:hint="eastAsia"/>
          <w:szCs w:val="21"/>
        </w:rPr>
        <w:t>农林</w:t>
      </w:r>
      <w:r w:rsidRPr="00380B80">
        <w:rPr>
          <w:rFonts w:asciiTheme="minorEastAsia" w:eastAsiaTheme="minorEastAsia" w:hAnsiTheme="minorEastAsia" w:hint="eastAsia"/>
          <w:szCs w:val="21"/>
        </w:rPr>
        <w:t>表现居前，</w:t>
      </w:r>
      <w:r>
        <w:rPr>
          <w:rFonts w:ascii="宋体" w:hAnsi="宋体" w:hint="eastAsia"/>
          <w:szCs w:val="21"/>
        </w:rPr>
        <w:t>跌</w:t>
      </w:r>
      <w:r w:rsidRPr="00380B80">
        <w:rPr>
          <w:rFonts w:asciiTheme="minorEastAsia" w:eastAsiaTheme="minorEastAsia" w:hAnsiTheme="minorEastAsia" w:hint="eastAsia"/>
          <w:szCs w:val="21"/>
        </w:rPr>
        <w:t>幅分别为</w:t>
      </w:r>
      <w:r>
        <w:rPr>
          <w:rFonts w:asciiTheme="minorEastAsia" w:eastAsiaTheme="minorEastAsia" w:hAnsiTheme="minorEastAsia" w:hint="eastAsia"/>
          <w:szCs w:val="21"/>
        </w:rPr>
        <w:t>1</w:t>
      </w:r>
      <w:r w:rsidRPr="00380B80">
        <w:rPr>
          <w:rFonts w:asciiTheme="minorEastAsia" w:eastAsiaTheme="minorEastAsia" w:hAnsiTheme="minorEastAsia" w:hint="eastAsia"/>
          <w:szCs w:val="21"/>
        </w:rPr>
        <w:t>.6</w:t>
      </w:r>
      <w:r>
        <w:rPr>
          <w:rFonts w:asciiTheme="minorEastAsia" w:eastAsiaTheme="minorEastAsia" w:hAnsiTheme="minorEastAsia" w:hint="eastAsia"/>
          <w:szCs w:val="21"/>
        </w:rPr>
        <w:t>4</w:t>
      </w:r>
      <w:r w:rsidRPr="00380B80">
        <w:rPr>
          <w:rFonts w:asciiTheme="minorEastAsia" w:eastAsiaTheme="minorEastAsia" w:hAnsiTheme="minorEastAsia" w:hint="eastAsia"/>
          <w:szCs w:val="21"/>
        </w:rPr>
        <w:t>%、</w:t>
      </w:r>
      <w:r>
        <w:rPr>
          <w:rFonts w:asciiTheme="minorEastAsia" w:eastAsiaTheme="minorEastAsia" w:hAnsiTheme="minorEastAsia" w:hint="eastAsia"/>
          <w:szCs w:val="21"/>
        </w:rPr>
        <w:t>1.</w:t>
      </w:r>
      <w:r w:rsidRPr="00380B80">
        <w:rPr>
          <w:rFonts w:asciiTheme="minorEastAsia" w:eastAsiaTheme="minorEastAsia" w:hAnsiTheme="minorEastAsia" w:hint="eastAsia"/>
          <w:szCs w:val="21"/>
        </w:rPr>
        <w:t>7</w:t>
      </w:r>
      <w:r>
        <w:rPr>
          <w:rFonts w:asciiTheme="minorEastAsia" w:eastAsiaTheme="minorEastAsia" w:hAnsiTheme="minorEastAsia" w:hint="eastAsia"/>
          <w:szCs w:val="21"/>
        </w:rPr>
        <w:t>0</w:t>
      </w:r>
      <w:r w:rsidRPr="00380B80">
        <w:rPr>
          <w:rFonts w:asciiTheme="minorEastAsia" w:eastAsiaTheme="minorEastAsia" w:hAnsiTheme="minorEastAsia" w:hint="eastAsia"/>
          <w:szCs w:val="21"/>
        </w:rPr>
        <w:t>%、</w:t>
      </w:r>
      <w:r>
        <w:rPr>
          <w:rFonts w:asciiTheme="minorEastAsia" w:eastAsiaTheme="minorEastAsia" w:hAnsiTheme="minorEastAsia" w:hint="eastAsia"/>
          <w:szCs w:val="21"/>
        </w:rPr>
        <w:t>2.44</w:t>
      </w:r>
      <w:r w:rsidRPr="00380B80">
        <w:rPr>
          <w:rFonts w:asciiTheme="minorEastAsia" w:eastAsiaTheme="minorEastAsia" w:hAnsiTheme="minorEastAsia" w:hint="eastAsia"/>
          <w:szCs w:val="21"/>
        </w:rPr>
        <w:t>%，</w:t>
      </w:r>
      <w:r>
        <w:rPr>
          <w:rFonts w:asciiTheme="minorEastAsia" w:eastAsiaTheme="minorEastAsia" w:hAnsiTheme="minorEastAsia" w:hint="eastAsia"/>
          <w:szCs w:val="21"/>
        </w:rPr>
        <w:t>造纸</w:t>
      </w:r>
      <w:r w:rsidRPr="00380B80">
        <w:rPr>
          <w:rFonts w:asciiTheme="minorEastAsia" w:eastAsiaTheme="minorEastAsia" w:hAnsiTheme="minorEastAsia" w:hint="eastAsia"/>
          <w:szCs w:val="21"/>
        </w:rPr>
        <w:t>、</w:t>
      </w:r>
      <w:r>
        <w:rPr>
          <w:rFonts w:asciiTheme="minorEastAsia" w:eastAsiaTheme="minorEastAsia" w:hAnsiTheme="minorEastAsia" w:hint="eastAsia"/>
          <w:szCs w:val="21"/>
        </w:rPr>
        <w:t>食品</w:t>
      </w:r>
      <w:r w:rsidRPr="00380B80">
        <w:rPr>
          <w:rFonts w:asciiTheme="minorEastAsia" w:eastAsiaTheme="minorEastAsia" w:hAnsiTheme="minorEastAsia" w:hint="eastAsia"/>
          <w:szCs w:val="21"/>
        </w:rPr>
        <w:t>、</w:t>
      </w:r>
      <w:r>
        <w:rPr>
          <w:rFonts w:asciiTheme="minorEastAsia" w:eastAsiaTheme="minorEastAsia" w:hAnsiTheme="minorEastAsia" w:hint="eastAsia"/>
          <w:szCs w:val="21"/>
        </w:rPr>
        <w:t>石化</w:t>
      </w:r>
      <w:r w:rsidRPr="00380B80">
        <w:rPr>
          <w:rFonts w:asciiTheme="minorEastAsia" w:eastAsiaTheme="minorEastAsia" w:hAnsiTheme="minorEastAsia" w:hint="eastAsia"/>
          <w:szCs w:val="21"/>
        </w:rPr>
        <w:t>表现居后，</w:t>
      </w:r>
      <w:r>
        <w:rPr>
          <w:rFonts w:ascii="宋体" w:hAnsi="宋体" w:hint="eastAsia"/>
          <w:szCs w:val="21"/>
        </w:rPr>
        <w:t>跌</w:t>
      </w:r>
      <w:r w:rsidRPr="00380B80">
        <w:rPr>
          <w:rFonts w:asciiTheme="minorEastAsia" w:eastAsiaTheme="minorEastAsia" w:hAnsiTheme="minorEastAsia" w:hint="eastAsia"/>
          <w:szCs w:val="21"/>
        </w:rPr>
        <w:t>幅分别为</w:t>
      </w:r>
      <w:r>
        <w:rPr>
          <w:rFonts w:asciiTheme="minorEastAsia" w:eastAsiaTheme="minorEastAsia" w:hAnsiTheme="minorEastAsia" w:hint="eastAsia"/>
          <w:szCs w:val="21"/>
        </w:rPr>
        <w:t>4.53</w:t>
      </w:r>
      <w:r w:rsidRPr="00380B80">
        <w:rPr>
          <w:rFonts w:asciiTheme="minorEastAsia" w:eastAsiaTheme="minorEastAsia" w:hAnsiTheme="minorEastAsia" w:hint="eastAsia"/>
          <w:szCs w:val="21"/>
        </w:rPr>
        <w:t>%、</w:t>
      </w:r>
      <w:r>
        <w:rPr>
          <w:rFonts w:asciiTheme="minorEastAsia" w:eastAsiaTheme="minorEastAsia" w:hAnsiTheme="minorEastAsia" w:hint="eastAsia"/>
          <w:szCs w:val="21"/>
        </w:rPr>
        <w:t>4.61</w:t>
      </w:r>
      <w:r w:rsidRPr="00380B80">
        <w:rPr>
          <w:rFonts w:asciiTheme="minorEastAsia" w:eastAsiaTheme="minorEastAsia" w:hAnsiTheme="minorEastAsia" w:hint="eastAsia"/>
          <w:szCs w:val="21"/>
        </w:rPr>
        <w:t xml:space="preserve">%、 </w:t>
      </w:r>
      <w:r>
        <w:rPr>
          <w:rFonts w:asciiTheme="minorEastAsia" w:eastAsiaTheme="minorEastAsia" w:hAnsiTheme="minorEastAsia" w:hint="eastAsia"/>
          <w:szCs w:val="21"/>
        </w:rPr>
        <w:t>4.71</w:t>
      </w:r>
      <w:r w:rsidRPr="00380B80">
        <w:rPr>
          <w:rFonts w:ascii="宋体" w:hAnsi="宋体" w:hint="eastAsia"/>
          <w:szCs w:val="21"/>
        </w:rPr>
        <w:t>%。</w:t>
      </w:r>
    </w:p>
    <w:p w:rsidR="00454CD3" w:rsidRPr="007A5022" w:rsidRDefault="00454CD3" w:rsidP="00454CD3">
      <w:pPr>
        <w:rPr>
          <w:rFonts w:asciiTheme="minorEastAsia" w:eastAsiaTheme="minorEastAsia" w:hAnsiTheme="minorEastAsia"/>
          <w:szCs w:val="21"/>
        </w:rPr>
      </w:pPr>
    </w:p>
    <w:p w:rsidR="00567AAA" w:rsidRDefault="004B4537" w:rsidP="00567AAA">
      <w:pPr>
        <w:ind w:firstLineChars="200" w:firstLine="400"/>
        <w:rPr>
          <w:rFonts w:ascii="宋体" w:hAnsi="宋体" w:hint="eastAsia"/>
          <w:szCs w:val="21"/>
        </w:rPr>
      </w:pPr>
      <w:r w:rsidRPr="007A5022">
        <w:rPr>
          <w:rFonts w:asciiTheme="minorEastAsia" w:eastAsiaTheme="minorEastAsia" w:hAnsiTheme="minorEastAsia" w:hint="eastAsia"/>
          <w:szCs w:val="21"/>
        </w:rPr>
        <w:t>受基础市场影响，和本期封闭式基金相关的指数</w:t>
      </w:r>
      <w:r w:rsidR="009829C3" w:rsidRPr="007A5022">
        <w:rPr>
          <w:rFonts w:asciiTheme="minorEastAsia" w:eastAsiaTheme="minorEastAsia" w:hAnsiTheme="minorEastAsia" w:hint="eastAsia"/>
          <w:szCs w:val="21"/>
        </w:rPr>
        <w:t>也</w:t>
      </w:r>
      <w:r w:rsidR="0034405B" w:rsidRPr="007A5022">
        <w:rPr>
          <w:rFonts w:asciiTheme="minorEastAsia" w:eastAsiaTheme="minorEastAsia" w:hAnsiTheme="minorEastAsia" w:hint="eastAsia"/>
          <w:szCs w:val="21"/>
        </w:rPr>
        <w:t>全线</w:t>
      </w:r>
      <w:r w:rsidR="00052737" w:rsidRPr="007A5022">
        <w:rPr>
          <w:rFonts w:asciiTheme="minorEastAsia" w:eastAsiaTheme="minorEastAsia" w:hAnsiTheme="minorEastAsia" w:hint="eastAsia"/>
          <w:szCs w:val="21"/>
        </w:rPr>
        <w:t>下跌</w:t>
      </w:r>
      <w:r w:rsidRPr="007A5022">
        <w:rPr>
          <w:rFonts w:asciiTheme="minorEastAsia" w:eastAsiaTheme="minorEastAsia" w:hAnsiTheme="minorEastAsia" w:hint="eastAsia"/>
          <w:szCs w:val="21"/>
        </w:rPr>
        <w:t>，其中上证</w:t>
      </w:r>
      <w:r w:rsidR="006F0BD6" w:rsidRPr="007A5022">
        <w:rPr>
          <w:rFonts w:asciiTheme="minorEastAsia" w:eastAsiaTheme="minorEastAsia" w:hAnsiTheme="minorEastAsia"/>
          <w:szCs w:val="21"/>
        </w:rPr>
        <w:t>基金指数</w:t>
      </w:r>
      <w:r w:rsidR="00077273" w:rsidRPr="007A5022">
        <w:rPr>
          <w:rFonts w:asciiTheme="minorEastAsia" w:eastAsiaTheme="minorEastAsia" w:hAnsiTheme="minorEastAsia" w:hint="eastAsia"/>
          <w:szCs w:val="21"/>
        </w:rPr>
        <w:t>收于</w:t>
      </w:r>
      <w:r w:rsidR="00A771E8" w:rsidRPr="007A5022">
        <w:rPr>
          <w:rFonts w:asciiTheme="minorEastAsia" w:eastAsiaTheme="minorEastAsia" w:hAnsiTheme="minorEastAsia"/>
          <w:szCs w:val="21"/>
        </w:rPr>
        <w:t>3</w:t>
      </w:r>
      <w:r w:rsidR="00052737" w:rsidRPr="007A5022">
        <w:rPr>
          <w:rFonts w:asciiTheme="minorEastAsia" w:eastAsiaTheme="minorEastAsia" w:hAnsiTheme="minorEastAsia" w:hint="eastAsia"/>
          <w:szCs w:val="21"/>
        </w:rPr>
        <w:t>509.92</w:t>
      </w:r>
      <w:r w:rsidR="00077273" w:rsidRPr="007A5022">
        <w:rPr>
          <w:rFonts w:asciiTheme="minorEastAsia" w:eastAsiaTheme="minorEastAsia" w:hAnsiTheme="minorEastAsia" w:hint="eastAsia"/>
          <w:szCs w:val="21"/>
        </w:rPr>
        <w:t>点，</w:t>
      </w:r>
      <w:r w:rsidR="00052737" w:rsidRPr="007A5022">
        <w:rPr>
          <w:rFonts w:asciiTheme="minorEastAsia" w:eastAsiaTheme="minorEastAsia" w:hAnsiTheme="minorEastAsia" w:hint="eastAsia"/>
          <w:szCs w:val="21"/>
        </w:rPr>
        <w:t>跌</w:t>
      </w:r>
      <w:r w:rsidR="009A6327" w:rsidRPr="007A5022">
        <w:rPr>
          <w:rFonts w:asciiTheme="minorEastAsia" w:eastAsiaTheme="minorEastAsia" w:hAnsiTheme="minorEastAsia" w:hint="eastAsia"/>
          <w:szCs w:val="21"/>
        </w:rPr>
        <w:t>幅</w:t>
      </w:r>
      <w:r w:rsidR="00052737" w:rsidRPr="007A5022">
        <w:rPr>
          <w:rFonts w:asciiTheme="minorEastAsia" w:eastAsiaTheme="minorEastAsia" w:hAnsiTheme="minorEastAsia" w:hint="eastAsia"/>
          <w:szCs w:val="21"/>
        </w:rPr>
        <w:t>为-2.55</w:t>
      </w:r>
      <w:r w:rsidR="006F0BD6" w:rsidRPr="007A5022">
        <w:rPr>
          <w:rFonts w:asciiTheme="minorEastAsia" w:eastAsiaTheme="minorEastAsia" w:hAnsiTheme="minorEastAsia"/>
          <w:szCs w:val="21"/>
        </w:rPr>
        <w:t>%</w:t>
      </w:r>
      <w:r w:rsidR="006F0BD6" w:rsidRPr="007A5022">
        <w:rPr>
          <w:rFonts w:asciiTheme="minorEastAsia" w:eastAsiaTheme="minorEastAsia" w:hAnsiTheme="minorEastAsia" w:hint="eastAsia"/>
          <w:szCs w:val="21"/>
        </w:rPr>
        <w:t>，</w:t>
      </w:r>
      <w:r w:rsidR="006F0BD6" w:rsidRPr="007A5022">
        <w:rPr>
          <w:rFonts w:asciiTheme="minorEastAsia" w:eastAsiaTheme="minorEastAsia" w:hAnsiTheme="minorEastAsia"/>
          <w:szCs w:val="21"/>
        </w:rPr>
        <w:t>深证基金指数</w:t>
      </w:r>
      <w:r w:rsidR="00077273" w:rsidRPr="007A5022">
        <w:rPr>
          <w:rFonts w:asciiTheme="minorEastAsia" w:eastAsiaTheme="minorEastAsia" w:hAnsiTheme="minorEastAsia" w:hint="eastAsia"/>
          <w:szCs w:val="21"/>
        </w:rPr>
        <w:t>收于</w:t>
      </w:r>
      <w:r w:rsidR="00052737" w:rsidRPr="007A5022">
        <w:rPr>
          <w:rFonts w:asciiTheme="minorEastAsia" w:eastAsiaTheme="minorEastAsia" w:hAnsiTheme="minorEastAsia" w:hint="eastAsia"/>
          <w:szCs w:val="21"/>
        </w:rPr>
        <w:t>4266.56</w:t>
      </w:r>
      <w:r w:rsidR="00077273" w:rsidRPr="007A5022">
        <w:rPr>
          <w:rFonts w:asciiTheme="minorEastAsia" w:eastAsiaTheme="minorEastAsia" w:hAnsiTheme="minorEastAsia" w:hint="eastAsia"/>
          <w:szCs w:val="21"/>
        </w:rPr>
        <w:t>点，</w:t>
      </w:r>
      <w:r w:rsidR="00052737" w:rsidRPr="007A5022">
        <w:rPr>
          <w:rFonts w:asciiTheme="minorEastAsia" w:eastAsiaTheme="minorEastAsia" w:hAnsiTheme="minorEastAsia" w:hint="eastAsia"/>
          <w:szCs w:val="21"/>
        </w:rPr>
        <w:t>跌</w:t>
      </w:r>
      <w:r w:rsidR="003E1848" w:rsidRPr="007A5022">
        <w:rPr>
          <w:rFonts w:asciiTheme="minorEastAsia" w:eastAsiaTheme="minorEastAsia" w:hAnsiTheme="minorEastAsia" w:hint="eastAsia"/>
          <w:szCs w:val="21"/>
        </w:rPr>
        <w:t>幅</w:t>
      </w:r>
      <w:r w:rsidR="00052737" w:rsidRPr="007A5022">
        <w:rPr>
          <w:rFonts w:asciiTheme="minorEastAsia" w:eastAsiaTheme="minorEastAsia" w:hAnsiTheme="minorEastAsia" w:hint="eastAsia"/>
          <w:szCs w:val="21"/>
        </w:rPr>
        <w:t>为-2.57</w:t>
      </w:r>
      <w:r w:rsidR="00AC2190" w:rsidRPr="007A5022">
        <w:rPr>
          <w:rFonts w:asciiTheme="minorEastAsia" w:eastAsiaTheme="minorEastAsia" w:hAnsiTheme="minorEastAsia"/>
          <w:szCs w:val="21"/>
        </w:rPr>
        <w:t>%</w:t>
      </w:r>
      <w:r w:rsidR="006F0BD6" w:rsidRPr="007A5022">
        <w:rPr>
          <w:rFonts w:asciiTheme="minorEastAsia" w:eastAsiaTheme="minorEastAsia" w:hAnsiTheme="minorEastAsia" w:hint="eastAsia"/>
          <w:szCs w:val="21"/>
        </w:rPr>
        <w:t>。</w:t>
      </w:r>
      <w:r w:rsidR="00567AAA" w:rsidRPr="007A5022">
        <w:rPr>
          <w:rFonts w:asciiTheme="minorEastAsia" w:eastAsiaTheme="minorEastAsia" w:hAnsiTheme="minorEastAsia" w:hint="eastAsia"/>
          <w:szCs w:val="21"/>
        </w:rPr>
        <w:t>本期封闭式基金二级市场平均价格变动较上周</w:t>
      </w:r>
      <w:r w:rsidR="00B30872" w:rsidRPr="007A5022">
        <w:rPr>
          <w:rFonts w:asciiTheme="minorEastAsia" w:eastAsiaTheme="minorEastAsia" w:hAnsiTheme="minorEastAsia" w:hint="eastAsia"/>
          <w:szCs w:val="21"/>
        </w:rPr>
        <w:t>数值</w:t>
      </w:r>
      <w:r w:rsidR="00052737" w:rsidRPr="007A5022">
        <w:rPr>
          <w:rFonts w:asciiTheme="minorEastAsia" w:eastAsiaTheme="minorEastAsia" w:hAnsiTheme="minorEastAsia" w:hint="eastAsia"/>
          <w:szCs w:val="21"/>
        </w:rPr>
        <w:t>下跌</w:t>
      </w:r>
      <w:r w:rsidR="00567AAA" w:rsidRPr="007A5022">
        <w:rPr>
          <w:rFonts w:asciiTheme="minorEastAsia" w:eastAsiaTheme="minorEastAsia" w:hAnsiTheme="minorEastAsia" w:hint="eastAsia"/>
          <w:szCs w:val="21"/>
        </w:rPr>
        <w:t>，平均价格变动率为</w:t>
      </w:r>
      <w:r w:rsidR="00052737" w:rsidRPr="007A5022">
        <w:rPr>
          <w:rFonts w:asciiTheme="minorEastAsia" w:eastAsiaTheme="minorEastAsia" w:hAnsiTheme="minorEastAsia" w:hint="eastAsia"/>
          <w:szCs w:val="21"/>
        </w:rPr>
        <w:t>-2.49</w:t>
      </w:r>
      <w:r w:rsidR="00567AAA" w:rsidRPr="007A5022">
        <w:rPr>
          <w:rFonts w:asciiTheme="minorEastAsia" w:eastAsiaTheme="minorEastAsia" w:hAnsiTheme="minorEastAsia" w:hint="eastAsia"/>
          <w:szCs w:val="21"/>
        </w:rPr>
        <w:t>%，其中</w:t>
      </w:r>
      <w:proofErr w:type="gramStart"/>
      <w:r w:rsidR="007A5022" w:rsidRPr="007A5022">
        <w:rPr>
          <w:rFonts w:asciiTheme="minorEastAsia" w:eastAsiaTheme="minorEastAsia" w:hAnsiTheme="minorEastAsia" w:hint="eastAsia"/>
          <w:szCs w:val="21"/>
        </w:rPr>
        <w:t>基金通乾</w:t>
      </w:r>
      <w:r w:rsidR="00567AAA" w:rsidRPr="007A5022">
        <w:rPr>
          <w:rFonts w:asciiTheme="minorEastAsia" w:eastAsiaTheme="minorEastAsia" w:hAnsiTheme="minorEastAsia" w:hint="eastAsia"/>
          <w:szCs w:val="21"/>
        </w:rPr>
        <w:t>在</w:t>
      </w:r>
      <w:proofErr w:type="gramEnd"/>
      <w:r w:rsidR="00567AAA" w:rsidRPr="007A5022">
        <w:rPr>
          <w:rFonts w:asciiTheme="minorEastAsia" w:eastAsiaTheme="minorEastAsia" w:hAnsiTheme="minorEastAsia" w:hint="eastAsia"/>
          <w:szCs w:val="21"/>
        </w:rPr>
        <w:t>二级市场价格</w:t>
      </w:r>
      <w:r w:rsidR="007A5022" w:rsidRPr="007A5022">
        <w:rPr>
          <w:rFonts w:asciiTheme="minorEastAsia" w:eastAsiaTheme="minorEastAsia" w:hAnsiTheme="minorEastAsia" w:hint="eastAsia"/>
          <w:szCs w:val="21"/>
        </w:rPr>
        <w:t>跌</w:t>
      </w:r>
      <w:r w:rsidR="00567AAA" w:rsidRPr="007A5022">
        <w:rPr>
          <w:rFonts w:asciiTheme="minorEastAsia" w:eastAsiaTheme="minorEastAsia" w:hAnsiTheme="minorEastAsia" w:hint="eastAsia"/>
          <w:szCs w:val="21"/>
        </w:rPr>
        <w:t>幅</w:t>
      </w:r>
      <w:r w:rsidR="00C50935" w:rsidRPr="007A5022">
        <w:rPr>
          <w:rFonts w:asciiTheme="minorEastAsia" w:eastAsiaTheme="minorEastAsia" w:hAnsiTheme="minorEastAsia" w:hint="eastAsia"/>
          <w:szCs w:val="21"/>
        </w:rPr>
        <w:t>最大</w:t>
      </w:r>
      <w:r w:rsidR="00567AAA" w:rsidRPr="007A5022">
        <w:rPr>
          <w:rFonts w:asciiTheme="minorEastAsia" w:eastAsiaTheme="minorEastAsia" w:hAnsiTheme="minorEastAsia" w:hint="eastAsia"/>
          <w:szCs w:val="21"/>
        </w:rPr>
        <w:t>，期间价格变动率均为</w:t>
      </w:r>
      <w:r w:rsidR="007A5022" w:rsidRPr="007A5022">
        <w:rPr>
          <w:rFonts w:asciiTheme="minorEastAsia" w:eastAsiaTheme="minorEastAsia" w:hAnsiTheme="minorEastAsia" w:hint="eastAsia"/>
          <w:szCs w:val="21"/>
        </w:rPr>
        <w:t>-3.99</w:t>
      </w:r>
      <w:r w:rsidR="00567AAA" w:rsidRPr="007A5022">
        <w:rPr>
          <w:rFonts w:asciiTheme="minorEastAsia" w:eastAsiaTheme="minorEastAsia" w:hAnsiTheme="minorEastAsia" w:hint="eastAsia"/>
          <w:szCs w:val="21"/>
        </w:rPr>
        <w:t>%。总体来看，本期封闭式基金</w:t>
      </w:r>
      <w:r w:rsidR="000C49CD" w:rsidRPr="007A5022">
        <w:rPr>
          <w:rFonts w:asciiTheme="minorEastAsia" w:eastAsiaTheme="minorEastAsia" w:hAnsiTheme="minorEastAsia" w:hint="eastAsia"/>
          <w:szCs w:val="21"/>
        </w:rPr>
        <w:t>的</w:t>
      </w:r>
      <w:r w:rsidR="00CB4947" w:rsidRPr="007A5022">
        <w:rPr>
          <w:rFonts w:asciiTheme="minorEastAsia" w:eastAsiaTheme="minorEastAsia" w:hAnsiTheme="minorEastAsia" w:hint="eastAsia"/>
          <w:szCs w:val="21"/>
        </w:rPr>
        <w:t>平均价格变动率</w:t>
      </w:r>
      <w:r w:rsidR="007A5022" w:rsidRPr="007A5022">
        <w:rPr>
          <w:rFonts w:asciiTheme="minorEastAsia" w:eastAsiaTheme="minorEastAsia" w:hAnsiTheme="minorEastAsia" w:hint="eastAsia"/>
          <w:szCs w:val="21"/>
        </w:rPr>
        <w:t>跌</w:t>
      </w:r>
      <w:r w:rsidR="000C49CD" w:rsidRPr="007A5022">
        <w:rPr>
          <w:rFonts w:asciiTheme="minorEastAsia" w:eastAsiaTheme="minorEastAsia" w:hAnsiTheme="minorEastAsia" w:hint="eastAsia"/>
          <w:szCs w:val="21"/>
        </w:rPr>
        <w:t>幅</w:t>
      </w:r>
      <w:r w:rsidR="000273F6" w:rsidRPr="007A5022">
        <w:rPr>
          <w:rFonts w:asciiTheme="minorEastAsia" w:eastAsiaTheme="minorEastAsia" w:hAnsiTheme="minorEastAsia" w:hint="eastAsia"/>
          <w:szCs w:val="21"/>
        </w:rPr>
        <w:t>小</w:t>
      </w:r>
      <w:r w:rsidR="00567AAA" w:rsidRPr="007A5022">
        <w:rPr>
          <w:rFonts w:asciiTheme="minorEastAsia" w:eastAsiaTheme="minorEastAsia" w:hAnsiTheme="minorEastAsia" w:hint="eastAsia"/>
          <w:szCs w:val="21"/>
        </w:rPr>
        <w:t>于</w:t>
      </w:r>
      <w:r w:rsidR="000C49CD" w:rsidRPr="007A5022">
        <w:rPr>
          <w:rFonts w:asciiTheme="minorEastAsia" w:eastAsiaTheme="minorEastAsia" w:hAnsiTheme="minorEastAsia" w:hint="eastAsia"/>
          <w:szCs w:val="21"/>
        </w:rPr>
        <w:t>基金期间收益的平均</w:t>
      </w:r>
      <w:r w:rsidR="007A5022" w:rsidRPr="007A5022">
        <w:rPr>
          <w:rFonts w:asciiTheme="minorEastAsia" w:eastAsiaTheme="minorEastAsia" w:hAnsiTheme="minorEastAsia" w:hint="eastAsia"/>
          <w:szCs w:val="21"/>
        </w:rPr>
        <w:t>跌</w:t>
      </w:r>
      <w:r w:rsidR="000C49CD" w:rsidRPr="007A5022">
        <w:rPr>
          <w:rFonts w:asciiTheme="minorEastAsia" w:eastAsiaTheme="minorEastAsia" w:hAnsiTheme="minorEastAsia" w:hint="eastAsia"/>
          <w:szCs w:val="21"/>
        </w:rPr>
        <w:t>幅</w:t>
      </w:r>
      <w:r w:rsidR="00567AAA" w:rsidRPr="007A5022">
        <w:rPr>
          <w:rFonts w:asciiTheme="minorEastAsia" w:eastAsiaTheme="minorEastAsia" w:hAnsiTheme="minorEastAsia" w:hint="eastAsia"/>
          <w:szCs w:val="21"/>
        </w:rPr>
        <w:t>，26只封闭式基金，</w:t>
      </w:r>
      <w:r w:rsidR="00EB3580" w:rsidRPr="007A5022">
        <w:rPr>
          <w:rFonts w:asciiTheme="minorEastAsia" w:eastAsiaTheme="minorEastAsia" w:hAnsiTheme="minorEastAsia" w:hint="eastAsia"/>
          <w:szCs w:val="21"/>
        </w:rPr>
        <w:t>基金</w:t>
      </w:r>
      <w:r w:rsidR="00CB4947" w:rsidRPr="007A5022">
        <w:rPr>
          <w:rFonts w:asciiTheme="minorEastAsia" w:eastAsiaTheme="minorEastAsia" w:hAnsiTheme="minorEastAsia" w:hint="eastAsia"/>
          <w:szCs w:val="21"/>
        </w:rPr>
        <w:t>二级市场表现</w:t>
      </w:r>
      <w:r w:rsidR="00C50935" w:rsidRPr="007A5022">
        <w:rPr>
          <w:rFonts w:asciiTheme="minorEastAsia" w:eastAsiaTheme="minorEastAsia" w:hAnsiTheme="minorEastAsia" w:hint="eastAsia"/>
          <w:szCs w:val="21"/>
        </w:rPr>
        <w:t>差</w:t>
      </w:r>
      <w:r w:rsidR="00567AAA" w:rsidRPr="007A5022">
        <w:rPr>
          <w:rFonts w:asciiTheme="minorEastAsia" w:eastAsiaTheme="minorEastAsia" w:hAnsiTheme="minorEastAsia" w:hint="eastAsia"/>
          <w:szCs w:val="21"/>
        </w:rPr>
        <w:t>于</w:t>
      </w:r>
      <w:r w:rsidR="00CB4947" w:rsidRPr="007A5022">
        <w:rPr>
          <w:rFonts w:asciiTheme="minorEastAsia" w:eastAsiaTheme="minorEastAsia" w:hAnsiTheme="minorEastAsia" w:hint="eastAsia"/>
          <w:szCs w:val="21"/>
        </w:rPr>
        <w:t>净值收益表现</w:t>
      </w:r>
      <w:r w:rsidR="00567AAA" w:rsidRPr="007A5022">
        <w:rPr>
          <w:rFonts w:asciiTheme="minorEastAsia" w:eastAsiaTheme="minorEastAsia" w:hAnsiTheme="minorEastAsia" w:hint="eastAsia"/>
          <w:szCs w:val="21"/>
        </w:rPr>
        <w:t>。</w:t>
      </w:r>
    </w:p>
    <w:p w:rsidR="00EB7808" w:rsidRPr="000273F6" w:rsidRDefault="00EB7808" w:rsidP="00EB7808">
      <w:pPr>
        <w:rPr>
          <w:rFonts w:ascii="宋体" w:hAnsi="宋体"/>
          <w:szCs w:val="21"/>
        </w:rPr>
      </w:pPr>
    </w:p>
    <w:p w:rsidR="004A48C6" w:rsidRPr="002F4110" w:rsidRDefault="006F0BD6" w:rsidP="00567AAA">
      <w:pPr>
        <w:ind w:firstLineChars="200" w:firstLine="400"/>
        <w:rPr>
          <w:rFonts w:ascii="宋体" w:hAnsi="宋体"/>
          <w:szCs w:val="21"/>
        </w:rPr>
      </w:pPr>
      <w:r w:rsidRPr="008F1DC5">
        <w:rPr>
          <w:rFonts w:ascii="宋体" w:hAnsi="宋体" w:hint="eastAsia"/>
          <w:szCs w:val="21"/>
        </w:rPr>
        <w:t>本</w:t>
      </w:r>
      <w:r w:rsidR="00DF0DB0" w:rsidRPr="008F1DC5">
        <w:rPr>
          <w:rFonts w:ascii="宋体" w:hAnsi="宋体" w:hint="eastAsia"/>
          <w:szCs w:val="21"/>
        </w:rPr>
        <w:t>次</w:t>
      </w:r>
      <w:r w:rsidRPr="008F1DC5">
        <w:rPr>
          <w:rFonts w:ascii="宋体" w:hAnsi="宋体" w:hint="eastAsia"/>
          <w:szCs w:val="21"/>
        </w:rPr>
        <w:t>纳入统计范围的2</w:t>
      </w:r>
      <w:r w:rsidR="00ED6FE7" w:rsidRPr="008F1DC5">
        <w:rPr>
          <w:rFonts w:ascii="宋体" w:hAnsi="宋体" w:hint="eastAsia"/>
          <w:szCs w:val="21"/>
        </w:rPr>
        <w:t>6</w:t>
      </w:r>
      <w:r w:rsidRPr="008F1DC5">
        <w:rPr>
          <w:rFonts w:ascii="宋体" w:hAnsi="宋体" w:hint="eastAsia"/>
          <w:szCs w:val="21"/>
        </w:rPr>
        <w:t>只封闭式基金平均折价率为</w:t>
      </w:r>
      <w:r w:rsidR="00B30872">
        <w:rPr>
          <w:rFonts w:ascii="宋体" w:hAnsi="宋体" w:hint="eastAsia"/>
          <w:szCs w:val="21"/>
        </w:rPr>
        <w:t>1</w:t>
      </w:r>
      <w:r w:rsidR="00C50935">
        <w:rPr>
          <w:rFonts w:ascii="宋体" w:hAnsi="宋体" w:hint="eastAsia"/>
          <w:szCs w:val="21"/>
        </w:rPr>
        <w:t>1</w:t>
      </w:r>
      <w:r w:rsidR="00B30872">
        <w:rPr>
          <w:rFonts w:ascii="宋体" w:hAnsi="宋体" w:hint="eastAsia"/>
          <w:szCs w:val="21"/>
        </w:rPr>
        <w:t>.</w:t>
      </w:r>
      <w:r w:rsidR="00C50935">
        <w:rPr>
          <w:rFonts w:ascii="宋体" w:hAnsi="宋体" w:hint="eastAsia"/>
          <w:szCs w:val="21"/>
        </w:rPr>
        <w:t>1</w:t>
      </w:r>
      <w:r w:rsidR="002A04C4">
        <w:rPr>
          <w:rFonts w:ascii="宋体" w:hAnsi="宋体" w:hint="eastAsia"/>
          <w:szCs w:val="21"/>
        </w:rPr>
        <w:t>5</w:t>
      </w:r>
      <w:r w:rsidR="00B30872" w:rsidRPr="008F1DC5">
        <w:rPr>
          <w:rFonts w:ascii="宋体" w:hAnsi="宋体" w:hint="eastAsia"/>
          <w:szCs w:val="21"/>
        </w:rPr>
        <w:t>%</w:t>
      </w:r>
      <w:r w:rsidR="001A7A16" w:rsidRPr="008F1DC5">
        <w:rPr>
          <w:rFonts w:ascii="宋体" w:hAnsi="宋体" w:hint="eastAsia"/>
          <w:szCs w:val="21"/>
        </w:rPr>
        <w:t>，较上期</w:t>
      </w:r>
      <w:r w:rsidR="005B665C" w:rsidRPr="008F1DC5">
        <w:rPr>
          <w:rFonts w:ascii="宋体" w:hAnsi="宋体" w:hint="eastAsia"/>
          <w:szCs w:val="21"/>
        </w:rPr>
        <w:t>数值</w:t>
      </w:r>
      <w:r w:rsidR="002A04C4">
        <w:rPr>
          <w:rFonts w:ascii="宋体" w:hAnsi="宋体" w:hint="eastAsia"/>
          <w:szCs w:val="21"/>
        </w:rPr>
        <w:t>变大</w:t>
      </w:r>
      <w:r w:rsidRPr="008F1DC5">
        <w:rPr>
          <w:rFonts w:ascii="宋体" w:hAnsi="宋体" w:hint="eastAsia"/>
          <w:szCs w:val="21"/>
        </w:rPr>
        <w:t>了</w:t>
      </w:r>
      <w:r w:rsidR="00C50935">
        <w:rPr>
          <w:rFonts w:ascii="宋体" w:hAnsi="宋体" w:hint="eastAsia"/>
          <w:szCs w:val="21"/>
        </w:rPr>
        <w:t>0.</w:t>
      </w:r>
      <w:r w:rsidR="002A04C4">
        <w:rPr>
          <w:rFonts w:ascii="宋体" w:hAnsi="宋体" w:hint="eastAsia"/>
          <w:szCs w:val="21"/>
        </w:rPr>
        <w:t>36</w:t>
      </w:r>
      <w:r w:rsidRPr="008F1DC5">
        <w:rPr>
          <w:rFonts w:ascii="宋体" w:hAnsi="宋体" w:hint="eastAsia"/>
          <w:szCs w:val="21"/>
        </w:rPr>
        <w:t>%</w:t>
      </w:r>
      <w:r w:rsidRPr="008F1DC5">
        <w:rPr>
          <w:rFonts w:ascii="宋体" w:hAnsi="宋体"/>
          <w:szCs w:val="21"/>
        </w:rPr>
        <w:t>。</w:t>
      </w:r>
      <w:r w:rsidRPr="008F1DC5">
        <w:rPr>
          <w:rFonts w:ascii="宋体" w:hAnsi="宋体" w:cs="宋体" w:hint="eastAsia"/>
          <w:kern w:val="0"/>
          <w:szCs w:val="21"/>
        </w:rPr>
        <w:t>其中</w:t>
      </w:r>
      <w:proofErr w:type="gramStart"/>
      <w:r w:rsidRPr="008F1DC5">
        <w:rPr>
          <w:rFonts w:ascii="宋体" w:hAnsi="宋体" w:cs="宋体" w:hint="eastAsia"/>
          <w:kern w:val="0"/>
          <w:szCs w:val="21"/>
        </w:rPr>
        <w:t>基金</w:t>
      </w:r>
      <w:r w:rsidR="00C50935">
        <w:rPr>
          <w:rFonts w:ascii="宋体" w:hAnsi="宋体" w:cs="宋体" w:hint="eastAsia"/>
          <w:kern w:val="0"/>
          <w:szCs w:val="21"/>
        </w:rPr>
        <w:t>久嘉</w:t>
      </w:r>
      <w:r w:rsidRPr="008F1DC5">
        <w:rPr>
          <w:rFonts w:ascii="宋体" w:hAnsi="宋体" w:cs="宋体" w:hint="eastAsia"/>
          <w:kern w:val="0"/>
          <w:szCs w:val="21"/>
        </w:rPr>
        <w:t>折价</w:t>
      </w:r>
      <w:proofErr w:type="gramEnd"/>
      <w:r w:rsidRPr="008F1DC5">
        <w:rPr>
          <w:rFonts w:ascii="宋体" w:hAnsi="宋体" w:cs="宋体" w:hint="eastAsia"/>
          <w:kern w:val="0"/>
          <w:szCs w:val="21"/>
        </w:rPr>
        <w:t>率最高，为</w:t>
      </w:r>
      <w:r w:rsidR="00387AE8">
        <w:rPr>
          <w:rFonts w:ascii="宋体" w:hAnsi="宋体" w:cs="宋体" w:hint="eastAsia"/>
          <w:kern w:val="0"/>
          <w:szCs w:val="21"/>
        </w:rPr>
        <w:t>1</w:t>
      </w:r>
      <w:r w:rsidR="00C50935">
        <w:rPr>
          <w:rFonts w:ascii="宋体" w:hAnsi="宋体" w:cs="宋体" w:hint="eastAsia"/>
          <w:kern w:val="0"/>
          <w:szCs w:val="21"/>
        </w:rPr>
        <w:t>8</w:t>
      </w:r>
      <w:r w:rsidR="00387AE8">
        <w:rPr>
          <w:rFonts w:ascii="宋体" w:hAnsi="宋体" w:cs="宋体" w:hint="eastAsia"/>
          <w:kern w:val="0"/>
          <w:szCs w:val="21"/>
        </w:rPr>
        <w:t>.</w:t>
      </w:r>
      <w:r w:rsidR="002A04C4">
        <w:rPr>
          <w:rFonts w:ascii="宋体" w:hAnsi="宋体" w:cs="宋体" w:hint="eastAsia"/>
          <w:kern w:val="0"/>
          <w:szCs w:val="21"/>
        </w:rPr>
        <w:t>45</w:t>
      </w:r>
      <w:r w:rsidR="00175B3E" w:rsidRPr="008F1DC5">
        <w:rPr>
          <w:rFonts w:ascii="宋体" w:hAnsi="宋体" w:cs="宋体"/>
          <w:kern w:val="0"/>
          <w:szCs w:val="21"/>
        </w:rPr>
        <w:t>%</w:t>
      </w:r>
      <w:r w:rsidRPr="008F1DC5">
        <w:rPr>
          <w:rFonts w:ascii="宋体" w:hAnsi="宋体" w:cs="宋体" w:hint="eastAsia"/>
          <w:kern w:val="0"/>
          <w:szCs w:val="21"/>
        </w:rPr>
        <w:t>，</w:t>
      </w:r>
      <w:r w:rsidR="002A04C4" w:rsidRPr="008F1DC5">
        <w:rPr>
          <w:rFonts w:ascii="宋体" w:hAnsi="宋体" w:cs="宋体" w:hint="eastAsia"/>
          <w:kern w:val="0"/>
          <w:szCs w:val="21"/>
        </w:rPr>
        <w:t>基金</w:t>
      </w:r>
      <w:r w:rsidR="002A04C4">
        <w:rPr>
          <w:rFonts w:ascii="宋体" w:hAnsi="宋体" w:cs="宋体" w:hint="eastAsia"/>
          <w:kern w:val="0"/>
          <w:szCs w:val="21"/>
        </w:rPr>
        <w:t>科瑞、</w:t>
      </w:r>
      <w:r w:rsidR="00204AD8" w:rsidRPr="008F1DC5">
        <w:rPr>
          <w:rFonts w:ascii="宋体" w:hAnsi="宋体" w:cs="宋体" w:hint="eastAsia"/>
          <w:kern w:val="0"/>
          <w:szCs w:val="21"/>
        </w:rPr>
        <w:t>基金</w:t>
      </w:r>
      <w:r w:rsidR="00C50935">
        <w:rPr>
          <w:rFonts w:ascii="宋体" w:hAnsi="宋体" w:cs="宋体" w:hint="eastAsia"/>
          <w:kern w:val="0"/>
          <w:szCs w:val="21"/>
        </w:rPr>
        <w:t>银</w:t>
      </w:r>
      <w:proofErr w:type="gramStart"/>
      <w:r w:rsidR="00C50935">
        <w:rPr>
          <w:rFonts w:ascii="宋体" w:hAnsi="宋体" w:cs="宋体" w:hint="eastAsia"/>
          <w:kern w:val="0"/>
          <w:szCs w:val="21"/>
        </w:rPr>
        <w:t>丰</w:t>
      </w:r>
      <w:r w:rsidRPr="008F1DC5">
        <w:rPr>
          <w:rFonts w:ascii="宋体" w:hAnsi="宋体" w:cs="宋体" w:hint="eastAsia"/>
          <w:kern w:val="0"/>
          <w:szCs w:val="21"/>
        </w:rPr>
        <w:t>分别</w:t>
      </w:r>
      <w:proofErr w:type="gramEnd"/>
      <w:r w:rsidRPr="008F1DC5">
        <w:rPr>
          <w:rFonts w:ascii="宋体" w:hAnsi="宋体" w:cs="宋体" w:hint="eastAsia"/>
          <w:kern w:val="0"/>
          <w:szCs w:val="21"/>
        </w:rPr>
        <w:t>以</w:t>
      </w:r>
      <w:r w:rsidR="00C50935">
        <w:rPr>
          <w:rFonts w:ascii="宋体" w:hAnsi="宋体" w:cs="宋体" w:hint="eastAsia"/>
          <w:kern w:val="0"/>
          <w:szCs w:val="21"/>
        </w:rPr>
        <w:t>17</w:t>
      </w:r>
      <w:r w:rsidR="008F1DC5" w:rsidRPr="008F1DC5">
        <w:rPr>
          <w:rFonts w:ascii="宋体" w:hAnsi="宋体" w:cs="宋体" w:hint="eastAsia"/>
          <w:kern w:val="0"/>
          <w:szCs w:val="21"/>
        </w:rPr>
        <w:t>.</w:t>
      </w:r>
      <w:r w:rsidR="00C50935">
        <w:rPr>
          <w:rFonts w:ascii="宋体" w:hAnsi="宋体" w:cs="宋体" w:hint="eastAsia"/>
          <w:kern w:val="0"/>
          <w:szCs w:val="21"/>
        </w:rPr>
        <w:t>6</w:t>
      </w:r>
      <w:r w:rsidR="002A04C4">
        <w:rPr>
          <w:rFonts w:ascii="宋体" w:hAnsi="宋体" w:cs="宋体" w:hint="eastAsia"/>
          <w:kern w:val="0"/>
          <w:szCs w:val="21"/>
        </w:rPr>
        <w:t>6</w:t>
      </w:r>
      <w:r w:rsidR="00175B3E" w:rsidRPr="008F1DC5">
        <w:rPr>
          <w:rFonts w:ascii="宋体" w:hAnsi="宋体" w:cs="宋体"/>
          <w:kern w:val="0"/>
          <w:szCs w:val="21"/>
        </w:rPr>
        <w:t>%</w:t>
      </w:r>
      <w:r w:rsidRPr="008F1DC5">
        <w:rPr>
          <w:rFonts w:ascii="宋体" w:hAnsi="宋体" w:cs="宋体" w:hint="eastAsia"/>
          <w:kern w:val="0"/>
          <w:szCs w:val="21"/>
        </w:rPr>
        <w:t>、</w:t>
      </w:r>
      <w:r w:rsidRPr="008F1DC5">
        <w:rPr>
          <w:rFonts w:ascii="宋体" w:hAnsi="宋体" w:cs="宋体"/>
          <w:kern w:val="0"/>
          <w:szCs w:val="21"/>
        </w:rPr>
        <w:t>1</w:t>
      </w:r>
      <w:r w:rsidR="00C50935">
        <w:rPr>
          <w:rFonts w:ascii="宋体" w:hAnsi="宋体" w:cs="宋体" w:hint="eastAsia"/>
          <w:kern w:val="0"/>
          <w:szCs w:val="21"/>
        </w:rPr>
        <w:t>7</w:t>
      </w:r>
      <w:r w:rsidR="008F1DC5" w:rsidRPr="008F1DC5">
        <w:rPr>
          <w:rFonts w:ascii="宋体" w:hAnsi="宋体" w:cs="宋体" w:hint="eastAsia"/>
          <w:kern w:val="0"/>
          <w:szCs w:val="21"/>
        </w:rPr>
        <w:t>.</w:t>
      </w:r>
      <w:r w:rsidR="002A04C4">
        <w:rPr>
          <w:rFonts w:ascii="宋体" w:hAnsi="宋体" w:cs="宋体" w:hint="eastAsia"/>
          <w:kern w:val="0"/>
          <w:szCs w:val="21"/>
        </w:rPr>
        <w:t>0</w:t>
      </w:r>
      <w:r w:rsidR="00C50935">
        <w:rPr>
          <w:rFonts w:ascii="宋体" w:hAnsi="宋体" w:cs="宋体" w:hint="eastAsia"/>
          <w:kern w:val="0"/>
          <w:szCs w:val="21"/>
        </w:rPr>
        <w:t>5</w:t>
      </w:r>
      <w:r w:rsidRPr="008F1DC5">
        <w:rPr>
          <w:rFonts w:ascii="宋体" w:hAnsi="宋体" w:cs="宋体"/>
          <w:kern w:val="0"/>
          <w:szCs w:val="21"/>
        </w:rPr>
        <w:t>%</w:t>
      </w:r>
      <w:r w:rsidRPr="008F1DC5">
        <w:rPr>
          <w:rFonts w:ascii="宋体" w:hAnsi="宋体" w:cs="宋体" w:hint="eastAsia"/>
          <w:kern w:val="0"/>
          <w:szCs w:val="21"/>
        </w:rPr>
        <w:t>次之。</w:t>
      </w:r>
      <w:r w:rsidRPr="008F1DC5">
        <w:rPr>
          <w:rFonts w:ascii="宋体" w:hAnsi="宋体"/>
          <w:szCs w:val="21"/>
        </w:rPr>
        <w:t>从单只基金的净值数据上看，</w:t>
      </w:r>
      <w:r w:rsidRPr="008F1DC5">
        <w:rPr>
          <w:rFonts w:ascii="宋体" w:hAnsi="宋体" w:hint="eastAsia"/>
          <w:szCs w:val="21"/>
        </w:rPr>
        <w:t>2</w:t>
      </w:r>
      <w:r w:rsidR="004A48C6" w:rsidRPr="008F1DC5">
        <w:rPr>
          <w:rFonts w:ascii="宋体" w:hAnsi="宋体" w:hint="eastAsia"/>
          <w:szCs w:val="21"/>
        </w:rPr>
        <w:t>6</w:t>
      </w:r>
      <w:r w:rsidRPr="008F1DC5">
        <w:rPr>
          <w:rFonts w:ascii="宋体" w:hAnsi="宋体"/>
          <w:szCs w:val="21"/>
        </w:rPr>
        <w:t>只封闭式基金</w:t>
      </w:r>
      <w:r w:rsidR="00BB42A4" w:rsidRPr="008F1DC5">
        <w:rPr>
          <w:rFonts w:ascii="宋体" w:hAnsi="宋体" w:hint="eastAsia"/>
          <w:szCs w:val="21"/>
        </w:rPr>
        <w:t>净值收益</w:t>
      </w:r>
      <w:r w:rsidR="0072043D" w:rsidRPr="008F1DC5">
        <w:rPr>
          <w:rFonts w:ascii="宋体" w:hAnsi="宋体" w:hint="eastAsia"/>
          <w:szCs w:val="21"/>
        </w:rPr>
        <w:t>本周</w:t>
      </w:r>
      <w:r w:rsidR="00387AE8">
        <w:rPr>
          <w:rFonts w:ascii="宋体" w:hAnsi="宋体" w:hint="eastAsia"/>
          <w:szCs w:val="21"/>
        </w:rPr>
        <w:t>小幅</w:t>
      </w:r>
      <w:r w:rsidR="002A04C4">
        <w:rPr>
          <w:rFonts w:ascii="宋体" w:hAnsi="宋体" w:hint="eastAsia"/>
          <w:szCs w:val="21"/>
        </w:rPr>
        <w:t>下跌</w:t>
      </w:r>
      <w:r w:rsidRPr="008F1DC5">
        <w:rPr>
          <w:rFonts w:ascii="宋体" w:hAnsi="宋体" w:hint="eastAsia"/>
          <w:szCs w:val="21"/>
        </w:rPr>
        <w:t>，本周平均净值收益率为</w:t>
      </w:r>
      <w:r w:rsidR="002A04C4">
        <w:rPr>
          <w:rFonts w:ascii="宋体" w:hAnsi="宋体" w:hint="eastAsia"/>
          <w:szCs w:val="21"/>
        </w:rPr>
        <w:t>-2.45</w:t>
      </w:r>
      <w:r w:rsidR="007F3FF7" w:rsidRPr="008F1DC5">
        <w:rPr>
          <w:rFonts w:ascii="宋体" w:hAnsi="宋体" w:hint="eastAsia"/>
          <w:szCs w:val="21"/>
        </w:rPr>
        <w:t>%</w:t>
      </w:r>
      <w:r w:rsidR="00281ABD" w:rsidRPr="008F1DC5">
        <w:rPr>
          <w:rFonts w:ascii="宋体" w:hAnsi="宋体" w:hint="eastAsia"/>
          <w:szCs w:val="21"/>
        </w:rPr>
        <w:t>。单只基金间的</w:t>
      </w:r>
      <w:r w:rsidRPr="008F1DC5">
        <w:rPr>
          <w:rFonts w:ascii="宋体" w:hAnsi="宋体" w:hint="eastAsia"/>
          <w:szCs w:val="21"/>
        </w:rPr>
        <w:t>净值收益</w:t>
      </w:r>
      <w:r w:rsidR="00FE49E0" w:rsidRPr="008F1DC5">
        <w:rPr>
          <w:rFonts w:ascii="宋体" w:hAnsi="宋体" w:hint="eastAsia"/>
          <w:szCs w:val="21"/>
        </w:rPr>
        <w:t>最大</w:t>
      </w:r>
      <w:r w:rsidRPr="008F1DC5">
        <w:rPr>
          <w:rFonts w:ascii="宋体" w:hAnsi="宋体" w:hint="eastAsia"/>
          <w:szCs w:val="21"/>
        </w:rPr>
        <w:t>差距为</w:t>
      </w:r>
      <w:r w:rsidR="00454CD3">
        <w:rPr>
          <w:rFonts w:ascii="宋体" w:hAnsi="宋体" w:hint="eastAsia"/>
          <w:color w:val="000000" w:themeColor="text1"/>
          <w:szCs w:val="21"/>
        </w:rPr>
        <w:t>4.32</w:t>
      </w:r>
      <w:r w:rsidR="008004AD" w:rsidRPr="0034405B">
        <w:rPr>
          <w:rFonts w:ascii="宋体" w:hAnsi="宋体" w:cs="宋体" w:hint="eastAsia"/>
          <w:color w:val="000000" w:themeColor="text1"/>
          <w:kern w:val="0"/>
          <w:szCs w:val="21"/>
        </w:rPr>
        <w:t>%</w:t>
      </w:r>
      <w:r w:rsidR="007A3922" w:rsidRPr="008F1DC5">
        <w:rPr>
          <w:rFonts w:ascii="宋体" w:hAnsi="宋体" w:cs="宋体" w:hint="eastAsia"/>
          <w:kern w:val="0"/>
          <w:szCs w:val="21"/>
        </w:rPr>
        <w:t>，</w:t>
      </w:r>
      <w:r w:rsidR="007A3922" w:rsidRPr="008F1DC5">
        <w:rPr>
          <w:rFonts w:ascii="宋体" w:hAnsi="宋体" w:hint="eastAsia"/>
          <w:szCs w:val="21"/>
        </w:rPr>
        <w:t>该数值</w:t>
      </w:r>
      <w:r w:rsidR="00FB47AC" w:rsidRPr="008F1DC5">
        <w:rPr>
          <w:rFonts w:ascii="宋体" w:hAnsi="宋体" w:hint="eastAsia"/>
          <w:szCs w:val="21"/>
        </w:rPr>
        <w:t>较</w:t>
      </w:r>
      <w:r w:rsidR="007A3922" w:rsidRPr="008F1DC5">
        <w:rPr>
          <w:rFonts w:ascii="宋体" w:hAnsi="宋体" w:hint="eastAsia"/>
          <w:szCs w:val="21"/>
        </w:rPr>
        <w:t>上期</w:t>
      </w:r>
      <w:r w:rsidR="00095893" w:rsidRPr="008F1DC5">
        <w:rPr>
          <w:rFonts w:ascii="宋体" w:hAnsi="宋体" w:hint="eastAsia"/>
          <w:szCs w:val="21"/>
        </w:rPr>
        <w:t>所得</w:t>
      </w:r>
      <w:r w:rsidR="00930101" w:rsidRPr="008F1DC5">
        <w:rPr>
          <w:rFonts w:ascii="宋体" w:hAnsi="宋体" w:hint="eastAsia"/>
          <w:szCs w:val="21"/>
        </w:rPr>
        <w:t>值</w:t>
      </w:r>
      <w:r w:rsidR="0031123A">
        <w:rPr>
          <w:rFonts w:ascii="宋体" w:hAnsi="宋体" w:hint="eastAsia"/>
          <w:szCs w:val="21"/>
        </w:rPr>
        <w:t>小幅</w:t>
      </w:r>
      <w:r w:rsidR="00454CD3">
        <w:rPr>
          <w:rFonts w:ascii="宋体" w:hAnsi="宋体" w:hint="eastAsia"/>
          <w:szCs w:val="21"/>
        </w:rPr>
        <w:t>上升</w:t>
      </w:r>
      <w:r w:rsidRPr="008F1DC5">
        <w:rPr>
          <w:rFonts w:ascii="宋体" w:hAnsi="宋体" w:hint="eastAsia"/>
          <w:szCs w:val="21"/>
        </w:rPr>
        <w:t>。其中，</w:t>
      </w:r>
      <w:r w:rsidR="004F7BFC" w:rsidRPr="008F1DC5">
        <w:rPr>
          <w:rFonts w:ascii="宋体" w:hAnsi="宋体" w:hint="eastAsia"/>
          <w:szCs w:val="21"/>
        </w:rPr>
        <w:t>基金</w:t>
      </w:r>
      <w:r w:rsidR="00454CD3">
        <w:rPr>
          <w:rFonts w:ascii="宋体" w:hAnsi="宋体" w:hint="eastAsia"/>
          <w:szCs w:val="21"/>
        </w:rPr>
        <w:t>银丰</w:t>
      </w:r>
      <w:r w:rsidR="00BB42A4" w:rsidRPr="008F1DC5">
        <w:rPr>
          <w:rFonts w:ascii="宋体" w:hAnsi="宋体" w:hint="eastAsia"/>
          <w:szCs w:val="21"/>
        </w:rPr>
        <w:t>本期净值收益率</w:t>
      </w:r>
      <w:r w:rsidR="00454CD3">
        <w:rPr>
          <w:rFonts w:ascii="宋体" w:hAnsi="宋体" w:hint="eastAsia"/>
          <w:szCs w:val="21"/>
        </w:rPr>
        <w:t>跌</w:t>
      </w:r>
      <w:r w:rsidR="00E14A5F" w:rsidRPr="008F1DC5">
        <w:rPr>
          <w:rFonts w:ascii="宋体" w:hAnsi="宋体" w:hint="eastAsia"/>
          <w:szCs w:val="21"/>
        </w:rPr>
        <w:t>幅最</w:t>
      </w:r>
      <w:r w:rsidR="00486121">
        <w:rPr>
          <w:rFonts w:ascii="宋体" w:hAnsi="宋体" w:hint="eastAsia"/>
          <w:szCs w:val="21"/>
        </w:rPr>
        <w:t>大</w:t>
      </w:r>
      <w:r w:rsidRPr="008F1DC5">
        <w:rPr>
          <w:rFonts w:ascii="宋体" w:hAnsi="宋体" w:hint="eastAsia"/>
          <w:szCs w:val="21"/>
        </w:rPr>
        <w:t>，为</w:t>
      </w:r>
      <w:r w:rsidR="00454CD3">
        <w:rPr>
          <w:rFonts w:ascii="宋体" w:hAnsi="宋体" w:hint="eastAsia"/>
          <w:szCs w:val="21"/>
        </w:rPr>
        <w:t>-4.31</w:t>
      </w:r>
      <w:r w:rsidR="008004AD" w:rsidRPr="008F1DC5">
        <w:rPr>
          <w:rFonts w:ascii="宋体" w:hAnsi="宋体" w:hint="eastAsia"/>
          <w:szCs w:val="21"/>
        </w:rPr>
        <w:t>%</w:t>
      </w:r>
      <w:r w:rsidR="00651BA1" w:rsidRPr="008F1DC5">
        <w:rPr>
          <w:rFonts w:ascii="宋体" w:hAnsi="宋体" w:hint="eastAsia"/>
          <w:szCs w:val="21"/>
        </w:rPr>
        <w:t>；</w:t>
      </w:r>
      <w:r w:rsidR="000E6E1D" w:rsidRPr="008F1DC5">
        <w:rPr>
          <w:rFonts w:ascii="宋体" w:hAnsi="宋体" w:hint="eastAsia"/>
          <w:szCs w:val="21"/>
        </w:rPr>
        <w:t>基金</w:t>
      </w:r>
      <w:proofErr w:type="gramStart"/>
      <w:r w:rsidR="00486121">
        <w:rPr>
          <w:rFonts w:ascii="宋体" w:hAnsi="宋体" w:hint="eastAsia"/>
          <w:szCs w:val="21"/>
        </w:rPr>
        <w:t>金</w:t>
      </w:r>
      <w:proofErr w:type="gramEnd"/>
      <w:r w:rsidR="00486121">
        <w:rPr>
          <w:rFonts w:ascii="宋体" w:hAnsi="宋体" w:hint="eastAsia"/>
          <w:szCs w:val="21"/>
        </w:rPr>
        <w:t>泰</w:t>
      </w:r>
      <w:r w:rsidR="00095893" w:rsidRPr="008F1DC5">
        <w:rPr>
          <w:rFonts w:ascii="宋体" w:hAnsi="宋体" w:hint="eastAsia"/>
          <w:szCs w:val="21"/>
        </w:rPr>
        <w:t>本期净值</w:t>
      </w:r>
      <w:proofErr w:type="gramStart"/>
      <w:r w:rsidR="00095893" w:rsidRPr="008F1DC5">
        <w:rPr>
          <w:rFonts w:ascii="宋体" w:hAnsi="宋体" w:hint="eastAsia"/>
          <w:szCs w:val="21"/>
        </w:rPr>
        <w:t>收益率</w:t>
      </w:r>
      <w:r w:rsidR="00486121">
        <w:rPr>
          <w:rFonts w:ascii="宋体" w:hAnsi="宋体" w:hint="eastAsia"/>
          <w:szCs w:val="21"/>
        </w:rPr>
        <w:t>涨</w:t>
      </w:r>
      <w:r w:rsidR="0031123A">
        <w:rPr>
          <w:rFonts w:ascii="宋体" w:hAnsi="宋体" w:hint="eastAsia"/>
          <w:szCs w:val="21"/>
        </w:rPr>
        <w:t>幅</w:t>
      </w:r>
      <w:proofErr w:type="gramEnd"/>
      <w:r w:rsidR="0031123A">
        <w:rPr>
          <w:rFonts w:ascii="宋体" w:hAnsi="宋体" w:hint="eastAsia"/>
          <w:szCs w:val="21"/>
        </w:rPr>
        <w:t>最</w:t>
      </w:r>
      <w:r w:rsidR="00454CD3">
        <w:rPr>
          <w:rFonts w:ascii="宋体" w:hAnsi="宋体" w:hint="eastAsia"/>
          <w:szCs w:val="21"/>
        </w:rPr>
        <w:t>大</w:t>
      </w:r>
      <w:r w:rsidR="00095893" w:rsidRPr="008F1DC5">
        <w:rPr>
          <w:rFonts w:ascii="宋体" w:hAnsi="宋体" w:hint="eastAsia"/>
          <w:szCs w:val="21"/>
        </w:rPr>
        <w:t>，为</w:t>
      </w:r>
      <w:r w:rsidR="00486121">
        <w:rPr>
          <w:rFonts w:ascii="宋体" w:hAnsi="宋体" w:hint="eastAsia"/>
          <w:szCs w:val="21"/>
        </w:rPr>
        <w:t>0.0</w:t>
      </w:r>
      <w:r w:rsidR="00454CD3">
        <w:rPr>
          <w:rFonts w:ascii="宋体" w:hAnsi="宋体" w:hint="eastAsia"/>
          <w:szCs w:val="21"/>
        </w:rPr>
        <w:t>1</w:t>
      </w:r>
      <w:r w:rsidR="00095893" w:rsidRPr="008F1DC5">
        <w:rPr>
          <w:rFonts w:ascii="宋体" w:hAnsi="宋体"/>
          <w:szCs w:val="21"/>
        </w:rPr>
        <w:t>%</w:t>
      </w:r>
      <w:r w:rsidR="00095893" w:rsidRPr="008F1DC5">
        <w:rPr>
          <w:rFonts w:ascii="宋体" w:hAnsi="宋体" w:hint="eastAsia"/>
          <w:szCs w:val="21"/>
        </w:rPr>
        <w:t>。</w:t>
      </w:r>
      <w:r w:rsidR="003A25BD" w:rsidRPr="002F4110">
        <w:rPr>
          <w:rFonts w:ascii="宋体" w:hAnsi="宋体" w:hint="eastAsia"/>
          <w:szCs w:val="21"/>
        </w:rPr>
        <w:t>2</w:t>
      </w:r>
      <w:r w:rsidR="00A8765F" w:rsidRPr="002F4110">
        <w:rPr>
          <w:rFonts w:ascii="宋体" w:hAnsi="宋体" w:hint="eastAsia"/>
          <w:szCs w:val="21"/>
        </w:rPr>
        <w:t>6</w:t>
      </w:r>
      <w:r w:rsidR="003A25BD" w:rsidRPr="002F4110">
        <w:rPr>
          <w:rFonts w:ascii="宋体" w:hAnsi="宋体" w:hint="eastAsia"/>
          <w:szCs w:val="21"/>
        </w:rPr>
        <w:t>只基金中</w:t>
      </w:r>
      <w:r w:rsidR="00FE160E" w:rsidRPr="002F4110">
        <w:rPr>
          <w:rFonts w:ascii="宋体" w:hAnsi="宋体" w:hint="eastAsia"/>
          <w:szCs w:val="21"/>
        </w:rPr>
        <w:t>有</w:t>
      </w:r>
      <w:r w:rsidR="00454CD3">
        <w:rPr>
          <w:rFonts w:ascii="宋体" w:hAnsi="宋体" w:hint="eastAsia"/>
          <w:szCs w:val="21"/>
        </w:rPr>
        <w:t>21</w:t>
      </w:r>
      <w:r w:rsidR="00FE160E" w:rsidRPr="002F4110">
        <w:rPr>
          <w:rFonts w:ascii="宋体" w:hAnsi="宋体" w:hint="eastAsia"/>
          <w:szCs w:val="21"/>
        </w:rPr>
        <w:t>只（占比</w:t>
      </w:r>
      <w:r w:rsidR="00454CD3">
        <w:rPr>
          <w:rFonts w:ascii="宋体" w:hAnsi="宋体" w:hint="eastAsia"/>
          <w:szCs w:val="21"/>
        </w:rPr>
        <w:t>80.8</w:t>
      </w:r>
      <w:r w:rsidR="00FE160E" w:rsidRPr="002F4110">
        <w:rPr>
          <w:rFonts w:ascii="宋体" w:hAnsi="宋体" w:hint="eastAsia"/>
          <w:szCs w:val="21"/>
        </w:rPr>
        <w:t>%）基金</w:t>
      </w:r>
      <w:r w:rsidR="002F4110" w:rsidRPr="002F4110">
        <w:rPr>
          <w:rFonts w:ascii="宋体" w:hAnsi="宋体" w:hint="eastAsia"/>
          <w:szCs w:val="21"/>
        </w:rPr>
        <w:t>的本周</w:t>
      </w:r>
      <w:r w:rsidR="00FE160E" w:rsidRPr="002F4110">
        <w:rPr>
          <w:rFonts w:ascii="宋体" w:hAnsi="宋体" w:hint="eastAsia"/>
          <w:szCs w:val="21"/>
        </w:rPr>
        <w:t>净值收益率</w:t>
      </w:r>
      <w:r w:rsidR="00454CD3">
        <w:rPr>
          <w:rFonts w:ascii="宋体" w:hAnsi="宋体" w:hint="eastAsia"/>
          <w:szCs w:val="21"/>
        </w:rPr>
        <w:t>小</w:t>
      </w:r>
      <w:r w:rsidR="00486121">
        <w:rPr>
          <w:rFonts w:ascii="宋体" w:hAnsi="宋体" w:hint="eastAsia"/>
          <w:szCs w:val="21"/>
        </w:rPr>
        <w:t>于2%以上，</w:t>
      </w:r>
      <w:r w:rsidR="000C49CD" w:rsidRPr="002F4110">
        <w:rPr>
          <w:rFonts w:ascii="宋体" w:hAnsi="宋体" w:hint="eastAsia"/>
          <w:szCs w:val="21"/>
        </w:rPr>
        <w:t>有</w:t>
      </w:r>
      <w:r w:rsidR="00454CD3">
        <w:rPr>
          <w:rFonts w:ascii="宋体" w:hAnsi="宋体" w:hint="eastAsia"/>
          <w:szCs w:val="21"/>
        </w:rPr>
        <w:t>4</w:t>
      </w:r>
      <w:r w:rsidR="000C49CD" w:rsidRPr="002F4110">
        <w:rPr>
          <w:rFonts w:ascii="宋体" w:hAnsi="宋体" w:hint="eastAsia"/>
          <w:szCs w:val="21"/>
        </w:rPr>
        <w:t>只（占比</w:t>
      </w:r>
      <w:r w:rsidR="00454CD3">
        <w:rPr>
          <w:rFonts w:ascii="宋体" w:hAnsi="宋体" w:hint="eastAsia"/>
          <w:szCs w:val="21"/>
        </w:rPr>
        <w:t>15.4</w:t>
      </w:r>
      <w:r w:rsidR="000C49CD" w:rsidRPr="002F4110">
        <w:rPr>
          <w:rFonts w:ascii="宋体" w:hAnsi="宋体" w:hint="eastAsia"/>
          <w:szCs w:val="21"/>
        </w:rPr>
        <w:t>%）基金</w:t>
      </w:r>
      <w:r w:rsidR="002F4110" w:rsidRPr="002F4110">
        <w:rPr>
          <w:rFonts w:ascii="宋体" w:hAnsi="宋体" w:hint="eastAsia"/>
          <w:szCs w:val="21"/>
        </w:rPr>
        <w:t>的</w:t>
      </w:r>
      <w:r w:rsidR="000C49CD" w:rsidRPr="002F4110">
        <w:rPr>
          <w:rFonts w:ascii="宋体" w:hAnsi="宋体" w:hint="eastAsia"/>
          <w:szCs w:val="21"/>
        </w:rPr>
        <w:t>净值收益率在</w:t>
      </w:r>
      <w:r w:rsidR="00454CD3">
        <w:rPr>
          <w:rFonts w:ascii="宋体" w:hAnsi="宋体" w:hint="eastAsia"/>
          <w:szCs w:val="21"/>
        </w:rPr>
        <w:t>-</w:t>
      </w:r>
      <w:r w:rsidR="00486121">
        <w:rPr>
          <w:rFonts w:ascii="宋体" w:hAnsi="宋体" w:hint="eastAsia"/>
          <w:szCs w:val="21"/>
        </w:rPr>
        <w:t>1%到</w:t>
      </w:r>
      <w:r w:rsidR="00454CD3">
        <w:rPr>
          <w:rFonts w:ascii="宋体" w:hAnsi="宋体" w:hint="eastAsia"/>
          <w:szCs w:val="21"/>
        </w:rPr>
        <w:t>-</w:t>
      </w:r>
      <w:r w:rsidR="00486121">
        <w:rPr>
          <w:rFonts w:ascii="宋体" w:hAnsi="宋体" w:hint="eastAsia"/>
          <w:szCs w:val="21"/>
        </w:rPr>
        <w:t>2%之间，有1只（占比3.8%）基金的本周净值收益率在0%到1%之间</w:t>
      </w:r>
      <w:r w:rsidR="000C49CD" w:rsidRPr="002F4110">
        <w:rPr>
          <w:rFonts w:ascii="宋体" w:hAnsi="宋体" w:hint="eastAsia"/>
          <w:szCs w:val="21"/>
        </w:rPr>
        <w:t>。</w:t>
      </w:r>
    </w:p>
    <w:p w:rsidR="007923FA" w:rsidRPr="002F4110" w:rsidRDefault="007923FA" w:rsidP="00044B79">
      <w:pPr>
        <w:rPr>
          <w:rFonts w:ascii="宋体" w:hAnsi="宋体"/>
          <w:szCs w:val="21"/>
        </w:rPr>
      </w:pPr>
    </w:p>
    <w:p w:rsidR="006F0BD6" w:rsidRPr="008A7218" w:rsidRDefault="006F0BD6" w:rsidP="006F0BD6">
      <w:pPr>
        <w:rPr>
          <w:b/>
        </w:rPr>
      </w:pPr>
      <w:r w:rsidRPr="008A7218">
        <w:rPr>
          <w:rFonts w:hint="eastAsia"/>
          <w:b/>
        </w:rPr>
        <w:t>表：封闭式基金本期净值及折价表现（</w:t>
      </w:r>
      <w:r w:rsidR="00A75013">
        <w:rPr>
          <w:rFonts w:asciiTheme="minorEastAsia" w:eastAsiaTheme="minorEastAsia" w:hAnsiTheme="minorEastAsia" w:hint="eastAsia"/>
          <w:b/>
        </w:rPr>
        <w:t>11</w:t>
      </w:r>
      <w:r w:rsidR="0031123A" w:rsidRPr="0031123A">
        <w:rPr>
          <w:rFonts w:asciiTheme="minorEastAsia" w:eastAsiaTheme="minorEastAsia" w:hAnsiTheme="minorEastAsia" w:hint="eastAsia"/>
          <w:b/>
        </w:rPr>
        <w:t>.</w:t>
      </w:r>
      <w:r w:rsidR="00A75013">
        <w:rPr>
          <w:rFonts w:asciiTheme="minorEastAsia" w:eastAsiaTheme="minorEastAsia" w:hAnsiTheme="minorEastAsia" w:hint="eastAsia"/>
          <w:b/>
        </w:rPr>
        <w:t>05</w:t>
      </w:r>
      <w:r w:rsidRPr="008A7218">
        <w:rPr>
          <w:rFonts w:ascii="宋体" w:hAnsi="宋体" w:hint="eastAsia"/>
          <w:b/>
        </w:rPr>
        <w:t>—</w:t>
      </w:r>
      <w:r w:rsidR="0031123A">
        <w:rPr>
          <w:rFonts w:ascii="宋体" w:hAnsi="宋体" w:hint="eastAsia"/>
          <w:b/>
        </w:rPr>
        <w:t>1</w:t>
      </w:r>
      <w:r w:rsidR="00486121">
        <w:rPr>
          <w:rFonts w:ascii="宋体" w:hAnsi="宋体" w:hint="eastAsia"/>
          <w:b/>
        </w:rPr>
        <w:t>1</w:t>
      </w:r>
      <w:r w:rsidR="0031123A">
        <w:rPr>
          <w:rFonts w:ascii="宋体" w:hAnsi="宋体" w:hint="eastAsia"/>
          <w:b/>
        </w:rPr>
        <w:t>.</w:t>
      </w:r>
      <w:r w:rsidR="00486121">
        <w:rPr>
          <w:rFonts w:ascii="宋体" w:hAnsi="宋体" w:hint="eastAsia"/>
          <w:b/>
        </w:rPr>
        <w:t>0</w:t>
      </w:r>
      <w:r w:rsidR="00A75013">
        <w:rPr>
          <w:rFonts w:ascii="宋体" w:hAnsi="宋体" w:hint="eastAsia"/>
          <w:b/>
        </w:rPr>
        <w:t>9</w:t>
      </w:r>
      <w:r w:rsidRPr="008A7218">
        <w:rPr>
          <w:rFonts w:hint="eastAsia"/>
          <w:b/>
        </w:rPr>
        <w:t>）</w:t>
      </w:r>
    </w:p>
    <w:tbl>
      <w:tblPr>
        <w:tblW w:w="5000" w:type="pct"/>
        <w:jc w:val="center"/>
        <w:tblLook w:val="0000"/>
      </w:tblPr>
      <w:tblGrid>
        <w:gridCol w:w="1064"/>
        <w:gridCol w:w="1018"/>
        <w:gridCol w:w="1160"/>
        <w:gridCol w:w="1160"/>
        <w:gridCol w:w="902"/>
        <w:gridCol w:w="1117"/>
        <w:gridCol w:w="916"/>
        <w:gridCol w:w="1191"/>
      </w:tblGrid>
      <w:tr w:rsidR="006F0BD6" w:rsidRPr="00052737" w:rsidTr="00BC5441">
        <w:trPr>
          <w:trHeight w:val="300"/>
          <w:jc w:val="center"/>
        </w:trPr>
        <w:tc>
          <w:tcPr>
            <w:tcW w:w="624" w:type="pct"/>
            <w:tcBorders>
              <w:top w:val="single" w:sz="4" w:space="0" w:color="auto"/>
              <w:left w:val="single" w:sz="4" w:space="0" w:color="auto"/>
              <w:bottom w:val="single" w:sz="4" w:space="0" w:color="auto"/>
              <w:right w:val="single" w:sz="4" w:space="0" w:color="auto"/>
            </w:tcBorders>
            <w:shd w:val="clear" w:color="auto" w:fill="C0C0C0"/>
            <w:vAlign w:val="center"/>
          </w:tcPr>
          <w:p w:rsidR="006F0BD6" w:rsidRPr="00052737" w:rsidRDefault="006F0BD6" w:rsidP="007942D3">
            <w:pPr>
              <w:widowControl/>
              <w:jc w:val="center"/>
              <w:rPr>
                <w:rFonts w:asciiTheme="minorEastAsia" w:eastAsiaTheme="minorEastAsia" w:hAnsiTheme="minorEastAsia" w:cs="宋体"/>
                <w:b/>
                <w:bCs/>
                <w:kern w:val="0"/>
                <w:sz w:val="18"/>
                <w:szCs w:val="18"/>
              </w:rPr>
            </w:pPr>
            <w:r w:rsidRPr="00052737">
              <w:rPr>
                <w:rFonts w:asciiTheme="minorEastAsia" w:eastAsiaTheme="minorEastAsia" w:hAnsiTheme="minorEastAsia" w:cs="宋体" w:hint="eastAsia"/>
                <w:b/>
                <w:bCs/>
                <w:kern w:val="0"/>
                <w:sz w:val="18"/>
                <w:szCs w:val="18"/>
              </w:rPr>
              <w:t>证券简称</w:t>
            </w:r>
          </w:p>
        </w:tc>
        <w:tc>
          <w:tcPr>
            <w:tcW w:w="597" w:type="pct"/>
            <w:tcBorders>
              <w:top w:val="single" w:sz="4" w:space="0" w:color="auto"/>
              <w:left w:val="nil"/>
              <w:bottom w:val="single" w:sz="4" w:space="0" w:color="auto"/>
              <w:right w:val="single" w:sz="4" w:space="0" w:color="auto"/>
            </w:tcBorders>
            <w:shd w:val="clear" w:color="auto" w:fill="C0C0C0"/>
            <w:vAlign w:val="center"/>
          </w:tcPr>
          <w:p w:rsidR="006F0BD6" w:rsidRPr="00052737" w:rsidRDefault="006F0BD6" w:rsidP="007942D3">
            <w:pPr>
              <w:widowControl/>
              <w:jc w:val="center"/>
              <w:rPr>
                <w:rFonts w:asciiTheme="minorEastAsia" w:eastAsiaTheme="minorEastAsia" w:hAnsiTheme="minorEastAsia" w:cs="宋体"/>
                <w:b/>
                <w:bCs/>
                <w:kern w:val="0"/>
                <w:sz w:val="18"/>
                <w:szCs w:val="18"/>
              </w:rPr>
            </w:pPr>
            <w:r w:rsidRPr="00052737">
              <w:rPr>
                <w:rFonts w:asciiTheme="minorEastAsia" w:eastAsiaTheme="minorEastAsia" w:hAnsiTheme="minorEastAsia" w:cs="宋体" w:hint="eastAsia"/>
                <w:b/>
                <w:bCs/>
                <w:kern w:val="0"/>
                <w:sz w:val="18"/>
                <w:szCs w:val="18"/>
              </w:rPr>
              <w:t>证券代码</w:t>
            </w:r>
          </w:p>
        </w:tc>
        <w:tc>
          <w:tcPr>
            <w:tcW w:w="680" w:type="pct"/>
            <w:tcBorders>
              <w:top w:val="single" w:sz="4" w:space="0" w:color="auto"/>
              <w:left w:val="nil"/>
              <w:bottom w:val="single" w:sz="4" w:space="0" w:color="auto"/>
              <w:right w:val="single" w:sz="4" w:space="0" w:color="auto"/>
            </w:tcBorders>
            <w:shd w:val="clear" w:color="auto" w:fill="C0C0C0"/>
            <w:vAlign w:val="center"/>
          </w:tcPr>
          <w:p w:rsidR="006F0BD6" w:rsidRPr="00052737" w:rsidRDefault="006F0BD6" w:rsidP="007942D3">
            <w:pPr>
              <w:widowControl/>
              <w:jc w:val="center"/>
              <w:rPr>
                <w:rFonts w:asciiTheme="minorEastAsia" w:eastAsiaTheme="minorEastAsia" w:hAnsiTheme="minorEastAsia" w:cs="宋体"/>
                <w:b/>
                <w:bCs/>
                <w:kern w:val="0"/>
                <w:sz w:val="18"/>
                <w:szCs w:val="18"/>
              </w:rPr>
            </w:pPr>
            <w:r w:rsidRPr="00052737">
              <w:rPr>
                <w:rFonts w:asciiTheme="minorEastAsia" w:eastAsiaTheme="minorEastAsia" w:hAnsiTheme="minorEastAsia" w:cs="宋体" w:hint="eastAsia"/>
                <w:b/>
                <w:bCs/>
                <w:kern w:val="0"/>
                <w:sz w:val="18"/>
                <w:szCs w:val="18"/>
              </w:rPr>
              <w:t>最新单位净值（元）</w:t>
            </w:r>
          </w:p>
        </w:tc>
        <w:tc>
          <w:tcPr>
            <w:tcW w:w="680" w:type="pct"/>
            <w:tcBorders>
              <w:top w:val="single" w:sz="4" w:space="0" w:color="auto"/>
              <w:left w:val="nil"/>
              <w:bottom w:val="single" w:sz="4" w:space="0" w:color="auto"/>
              <w:right w:val="single" w:sz="4" w:space="0" w:color="auto"/>
            </w:tcBorders>
            <w:shd w:val="clear" w:color="auto" w:fill="C0C0C0"/>
            <w:vAlign w:val="center"/>
          </w:tcPr>
          <w:p w:rsidR="006F0BD6" w:rsidRPr="00052737" w:rsidRDefault="006F0BD6" w:rsidP="007942D3">
            <w:pPr>
              <w:widowControl/>
              <w:jc w:val="center"/>
              <w:rPr>
                <w:rFonts w:asciiTheme="minorEastAsia" w:eastAsiaTheme="minorEastAsia" w:hAnsiTheme="minorEastAsia" w:cs="宋体"/>
                <w:b/>
                <w:bCs/>
                <w:kern w:val="0"/>
                <w:sz w:val="18"/>
                <w:szCs w:val="18"/>
              </w:rPr>
            </w:pPr>
            <w:r w:rsidRPr="00052737">
              <w:rPr>
                <w:rFonts w:asciiTheme="minorEastAsia" w:eastAsiaTheme="minorEastAsia" w:hAnsiTheme="minorEastAsia" w:cs="宋体" w:hint="eastAsia"/>
                <w:b/>
                <w:bCs/>
                <w:kern w:val="0"/>
                <w:sz w:val="18"/>
                <w:szCs w:val="18"/>
              </w:rPr>
              <w:t>最新单位价格（元）</w:t>
            </w:r>
          </w:p>
        </w:tc>
        <w:tc>
          <w:tcPr>
            <w:tcW w:w="529" w:type="pct"/>
            <w:tcBorders>
              <w:top w:val="single" w:sz="4" w:space="0" w:color="auto"/>
              <w:left w:val="nil"/>
              <w:bottom w:val="single" w:sz="4" w:space="0" w:color="auto"/>
              <w:right w:val="single" w:sz="4" w:space="0" w:color="auto"/>
            </w:tcBorders>
            <w:shd w:val="clear" w:color="auto" w:fill="C0C0C0"/>
            <w:vAlign w:val="center"/>
          </w:tcPr>
          <w:p w:rsidR="006F0BD6" w:rsidRPr="00052737" w:rsidRDefault="006F0BD6" w:rsidP="007942D3">
            <w:pPr>
              <w:widowControl/>
              <w:jc w:val="center"/>
              <w:rPr>
                <w:rFonts w:asciiTheme="minorEastAsia" w:eastAsiaTheme="minorEastAsia" w:hAnsiTheme="minorEastAsia" w:cs="宋体"/>
                <w:b/>
                <w:bCs/>
                <w:kern w:val="0"/>
                <w:sz w:val="18"/>
                <w:szCs w:val="18"/>
              </w:rPr>
            </w:pPr>
            <w:r w:rsidRPr="00052737">
              <w:rPr>
                <w:rFonts w:asciiTheme="minorEastAsia" w:eastAsiaTheme="minorEastAsia" w:hAnsiTheme="minorEastAsia" w:cs="宋体" w:hint="eastAsia"/>
                <w:b/>
                <w:bCs/>
                <w:kern w:val="0"/>
                <w:sz w:val="18"/>
                <w:szCs w:val="18"/>
              </w:rPr>
              <w:t>折价率</w:t>
            </w:r>
          </w:p>
        </w:tc>
        <w:tc>
          <w:tcPr>
            <w:tcW w:w="655" w:type="pct"/>
            <w:tcBorders>
              <w:top w:val="single" w:sz="4" w:space="0" w:color="auto"/>
              <w:left w:val="nil"/>
              <w:bottom w:val="single" w:sz="4" w:space="0" w:color="auto"/>
              <w:right w:val="single" w:sz="4" w:space="0" w:color="auto"/>
            </w:tcBorders>
            <w:shd w:val="clear" w:color="auto" w:fill="C0C0C0"/>
            <w:vAlign w:val="center"/>
          </w:tcPr>
          <w:p w:rsidR="006F0BD6" w:rsidRPr="00052737" w:rsidRDefault="006F0BD6" w:rsidP="007942D3">
            <w:pPr>
              <w:widowControl/>
              <w:jc w:val="center"/>
              <w:rPr>
                <w:rFonts w:asciiTheme="minorEastAsia" w:eastAsiaTheme="minorEastAsia" w:hAnsiTheme="minorEastAsia" w:cs="宋体"/>
                <w:b/>
                <w:bCs/>
                <w:kern w:val="0"/>
                <w:sz w:val="18"/>
                <w:szCs w:val="18"/>
              </w:rPr>
            </w:pPr>
            <w:r w:rsidRPr="00052737">
              <w:rPr>
                <w:rFonts w:asciiTheme="minorEastAsia" w:eastAsiaTheme="minorEastAsia" w:hAnsiTheme="minorEastAsia" w:cs="宋体" w:hint="eastAsia"/>
                <w:b/>
                <w:bCs/>
                <w:kern w:val="0"/>
                <w:sz w:val="18"/>
                <w:szCs w:val="18"/>
              </w:rPr>
              <w:t>期间收益率</w:t>
            </w:r>
          </w:p>
        </w:tc>
        <w:tc>
          <w:tcPr>
            <w:tcW w:w="537" w:type="pct"/>
            <w:tcBorders>
              <w:top w:val="single" w:sz="4" w:space="0" w:color="auto"/>
              <w:left w:val="nil"/>
              <w:bottom w:val="single" w:sz="4" w:space="0" w:color="auto"/>
              <w:right w:val="single" w:sz="4" w:space="0" w:color="auto"/>
            </w:tcBorders>
            <w:shd w:val="clear" w:color="auto" w:fill="C0C0C0"/>
            <w:vAlign w:val="center"/>
          </w:tcPr>
          <w:p w:rsidR="006F0BD6" w:rsidRPr="00052737" w:rsidRDefault="006F0BD6" w:rsidP="007942D3">
            <w:pPr>
              <w:widowControl/>
              <w:jc w:val="center"/>
              <w:rPr>
                <w:rFonts w:asciiTheme="minorEastAsia" w:eastAsiaTheme="minorEastAsia" w:hAnsiTheme="minorEastAsia" w:cs="宋体"/>
                <w:b/>
                <w:bCs/>
                <w:kern w:val="0"/>
                <w:sz w:val="18"/>
                <w:szCs w:val="18"/>
              </w:rPr>
            </w:pPr>
            <w:r w:rsidRPr="00052737">
              <w:rPr>
                <w:rFonts w:asciiTheme="minorEastAsia" w:eastAsiaTheme="minorEastAsia" w:hAnsiTheme="minorEastAsia" w:cs="宋体" w:hint="eastAsia"/>
                <w:b/>
                <w:bCs/>
                <w:kern w:val="0"/>
                <w:sz w:val="18"/>
                <w:szCs w:val="18"/>
              </w:rPr>
              <w:t>期间价格变动</w:t>
            </w:r>
          </w:p>
        </w:tc>
        <w:tc>
          <w:tcPr>
            <w:tcW w:w="698" w:type="pct"/>
            <w:tcBorders>
              <w:top w:val="single" w:sz="4" w:space="0" w:color="auto"/>
              <w:left w:val="nil"/>
              <w:bottom w:val="single" w:sz="4" w:space="0" w:color="auto"/>
              <w:right w:val="single" w:sz="4" w:space="0" w:color="auto"/>
            </w:tcBorders>
            <w:shd w:val="clear" w:color="auto" w:fill="C0C0C0"/>
            <w:vAlign w:val="center"/>
          </w:tcPr>
          <w:p w:rsidR="006F0BD6" w:rsidRPr="00052737" w:rsidRDefault="006F0BD6" w:rsidP="007942D3">
            <w:pPr>
              <w:widowControl/>
              <w:jc w:val="center"/>
              <w:rPr>
                <w:rFonts w:asciiTheme="minorEastAsia" w:eastAsiaTheme="minorEastAsia" w:hAnsiTheme="minorEastAsia" w:cs="宋体"/>
                <w:b/>
                <w:bCs/>
                <w:kern w:val="0"/>
                <w:sz w:val="18"/>
                <w:szCs w:val="18"/>
              </w:rPr>
            </w:pPr>
            <w:r w:rsidRPr="00052737">
              <w:rPr>
                <w:rFonts w:asciiTheme="minorEastAsia" w:eastAsiaTheme="minorEastAsia" w:hAnsiTheme="minorEastAsia" w:cs="宋体" w:hint="eastAsia"/>
                <w:b/>
                <w:bCs/>
                <w:kern w:val="0"/>
                <w:sz w:val="18"/>
                <w:szCs w:val="18"/>
              </w:rPr>
              <w:t>济安评级</w:t>
            </w:r>
          </w:p>
        </w:tc>
      </w:tr>
      <w:tr w:rsidR="00052737"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建</w:t>
            </w:r>
            <w:proofErr w:type="gramStart"/>
            <w:r w:rsidRPr="00052737">
              <w:rPr>
                <w:rFonts w:asciiTheme="minorEastAsia" w:eastAsiaTheme="minorEastAsia" w:hAnsiTheme="minorEastAsia" w:hint="eastAsia"/>
                <w:color w:val="000000"/>
                <w:sz w:val="18"/>
                <w:szCs w:val="18"/>
              </w:rPr>
              <w:t>信优势</w:t>
            </w:r>
            <w:proofErr w:type="gramEnd"/>
          </w:p>
        </w:tc>
        <w:tc>
          <w:tcPr>
            <w:tcW w:w="597"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150003</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0.84</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0.807</w:t>
            </w:r>
          </w:p>
        </w:tc>
        <w:tc>
          <w:tcPr>
            <w:tcW w:w="529"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3.95%</w:t>
            </w:r>
          </w:p>
        </w:tc>
        <w:tc>
          <w:tcPr>
            <w:tcW w:w="655"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-2.33%</w:t>
            </w:r>
          </w:p>
        </w:tc>
        <w:tc>
          <w:tcPr>
            <w:tcW w:w="537"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-2.30%</w:t>
            </w:r>
          </w:p>
        </w:tc>
        <w:tc>
          <w:tcPr>
            <w:tcW w:w="698"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052737"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lastRenderedPageBreak/>
              <w:t>基金开元</w:t>
            </w:r>
          </w:p>
        </w:tc>
        <w:tc>
          <w:tcPr>
            <w:tcW w:w="597"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184688</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0.8296</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0.795</w:t>
            </w:r>
          </w:p>
        </w:tc>
        <w:tc>
          <w:tcPr>
            <w:tcW w:w="529"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4.18%</w:t>
            </w:r>
          </w:p>
        </w:tc>
        <w:tc>
          <w:tcPr>
            <w:tcW w:w="655" w:type="pct"/>
            <w:tcBorders>
              <w:top w:val="nil"/>
              <w:left w:val="nil"/>
              <w:bottom w:val="single" w:sz="4" w:space="0" w:color="auto"/>
              <w:right w:val="single" w:sz="4" w:space="0" w:color="auto"/>
            </w:tcBorders>
            <w:vAlign w:val="center"/>
          </w:tcPr>
          <w:p w:rsidR="00052737" w:rsidRPr="00454CD3" w:rsidRDefault="00052737">
            <w:pPr>
              <w:jc w:val="center"/>
              <w:rPr>
                <w:rFonts w:asciiTheme="minorEastAsia" w:eastAsiaTheme="minorEastAsia" w:hAnsiTheme="minorEastAsia" w:cs="宋体"/>
                <w:sz w:val="18"/>
                <w:szCs w:val="18"/>
              </w:rPr>
            </w:pPr>
            <w:r w:rsidRPr="00454CD3">
              <w:rPr>
                <w:rFonts w:asciiTheme="minorEastAsia" w:eastAsiaTheme="minorEastAsia" w:hAnsiTheme="minorEastAsia" w:hint="eastAsia"/>
                <w:sz w:val="18"/>
                <w:szCs w:val="18"/>
              </w:rPr>
              <w:t>-1.00%</w:t>
            </w:r>
          </w:p>
        </w:tc>
        <w:tc>
          <w:tcPr>
            <w:tcW w:w="537"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-1.00%</w:t>
            </w:r>
          </w:p>
        </w:tc>
        <w:tc>
          <w:tcPr>
            <w:tcW w:w="698"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052737"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基金普惠</w:t>
            </w:r>
          </w:p>
        </w:tc>
        <w:tc>
          <w:tcPr>
            <w:tcW w:w="597"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184689</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0.8892</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0.804</w:t>
            </w:r>
          </w:p>
        </w:tc>
        <w:tc>
          <w:tcPr>
            <w:tcW w:w="529"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8.67%</w:t>
            </w:r>
          </w:p>
        </w:tc>
        <w:tc>
          <w:tcPr>
            <w:tcW w:w="655"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-2.39%</w:t>
            </w:r>
          </w:p>
        </w:tc>
        <w:tc>
          <w:tcPr>
            <w:tcW w:w="537" w:type="pct"/>
            <w:tcBorders>
              <w:top w:val="nil"/>
              <w:left w:val="nil"/>
              <w:bottom w:val="single" w:sz="4" w:space="0" w:color="auto"/>
              <w:right w:val="single" w:sz="4" w:space="0" w:color="auto"/>
            </w:tcBorders>
            <w:vAlign w:val="center"/>
          </w:tcPr>
          <w:p w:rsidR="00052737" w:rsidRPr="00454CD3" w:rsidRDefault="00052737">
            <w:pPr>
              <w:jc w:val="center"/>
              <w:rPr>
                <w:rFonts w:asciiTheme="minorEastAsia" w:eastAsiaTheme="minorEastAsia" w:hAnsiTheme="minorEastAsia" w:cs="宋体"/>
                <w:color w:val="00B050"/>
                <w:sz w:val="18"/>
                <w:szCs w:val="18"/>
              </w:rPr>
            </w:pPr>
            <w:r w:rsidRPr="00454CD3">
              <w:rPr>
                <w:rFonts w:asciiTheme="minorEastAsia" w:eastAsiaTheme="minorEastAsia" w:hAnsiTheme="minorEastAsia" w:hint="eastAsia"/>
                <w:color w:val="00B050"/>
                <w:sz w:val="18"/>
                <w:szCs w:val="18"/>
              </w:rPr>
              <w:t>-3.37%</w:t>
            </w:r>
          </w:p>
        </w:tc>
        <w:tc>
          <w:tcPr>
            <w:tcW w:w="698"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052737"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基金同益</w:t>
            </w:r>
          </w:p>
        </w:tc>
        <w:tc>
          <w:tcPr>
            <w:tcW w:w="597"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184690</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0.8173</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0.729</w:t>
            </w:r>
          </w:p>
        </w:tc>
        <w:tc>
          <w:tcPr>
            <w:tcW w:w="529"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10.30%</w:t>
            </w:r>
          </w:p>
        </w:tc>
        <w:tc>
          <w:tcPr>
            <w:tcW w:w="655"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-2.64%</w:t>
            </w:r>
          </w:p>
        </w:tc>
        <w:tc>
          <w:tcPr>
            <w:tcW w:w="537"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-3.19%</w:t>
            </w:r>
          </w:p>
        </w:tc>
        <w:tc>
          <w:tcPr>
            <w:tcW w:w="698"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052737"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基金景宏</w:t>
            </w:r>
          </w:p>
        </w:tc>
        <w:tc>
          <w:tcPr>
            <w:tcW w:w="597"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184691</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0.8269</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0.748</w:t>
            </w:r>
          </w:p>
        </w:tc>
        <w:tc>
          <w:tcPr>
            <w:tcW w:w="529"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10.04%</w:t>
            </w:r>
          </w:p>
        </w:tc>
        <w:tc>
          <w:tcPr>
            <w:tcW w:w="655" w:type="pct"/>
            <w:tcBorders>
              <w:top w:val="nil"/>
              <w:left w:val="nil"/>
              <w:bottom w:val="single" w:sz="4" w:space="0" w:color="auto"/>
              <w:right w:val="single" w:sz="4" w:space="0" w:color="auto"/>
            </w:tcBorders>
            <w:vAlign w:val="center"/>
          </w:tcPr>
          <w:p w:rsidR="00052737" w:rsidRPr="00454CD3" w:rsidRDefault="00052737">
            <w:pPr>
              <w:jc w:val="center"/>
              <w:rPr>
                <w:rFonts w:asciiTheme="minorEastAsia" w:eastAsiaTheme="minorEastAsia" w:hAnsiTheme="minorEastAsia" w:cs="宋体"/>
                <w:sz w:val="18"/>
                <w:szCs w:val="18"/>
              </w:rPr>
            </w:pPr>
            <w:r w:rsidRPr="00454CD3">
              <w:rPr>
                <w:rFonts w:asciiTheme="minorEastAsia" w:eastAsiaTheme="minorEastAsia" w:hAnsiTheme="minorEastAsia" w:hint="eastAsia"/>
                <w:sz w:val="18"/>
                <w:szCs w:val="18"/>
              </w:rPr>
              <w:t>-3.51%</w:t>
            </w:r>
          </w:p>
        </w:tc>
        <w:tc>
          <w:tcPr>
            <w:tcW w:w="537"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-2.98%</w:t>
            </w:r>
          </w:p>
        </w:tc>
        <w:tc>
          <w:tcPr>
            <w:tcW w:w="698"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052737"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基金裕隆</w:t>
            </w:r>
          </w:p>
        </w:tc>
        <w:tc>
          <w:tcPr>
            <w:tcW w:w="597"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184692</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0.8919</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0.8</w:t>
            </w:r>
          </w:p>
        </w:tc>
        <w:tc>
          <w:tcPr>
            <w:tcW w:w="529"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10.65%</w:t>
            </w:r>
          </w:p>
        </w:tc>
        <w:tc>
          <w:tcPr>
            <w:tcW w:w="655"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-2.81%</w:t>
            </w:r>
          </w:p>
        </w:tc>
        <w:tc>
          <w:tcPr>
            <w:tcW w:w="537"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-2.44%</w:t>
            </w:r>
          </w:p>
        </w:tc>
        <w:tc>
          <w:tcPr>
            <w:tcW w:w="698"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052737"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基金普丰</w:t>
            </w:r>
          </w:p>
        </w:tc>
        <w:tc>
          <w:tcPr>
            <w:tcW w:w="597"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184693</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0.7917</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0.69</w:t>
            </w:r>
          </w:p>
        </w:tc>
        <w:tc>
          <w:tcPr>
            <w:tcW w:w="529"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13.01%</w:t>
            </w:r>
          </w:p>
        </w:tc>
        <w:tc>
          <w:tcPr>
            <w:tcW w:w="655"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-2.58%</w:t>
            </w:r>
          </w:p>
        </w:tc>
        <w:tc>
          <w:tcPr>
            <w:tcW w:w="537"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-2.40%</w:t>
            </w:r>
          </w:p>
        </w:tc>
        <w:tc>
          <w:tcPr>
            <w:tcW w:w="698"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052737"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基金天元</w:t>
            </w:r>
          </w:p>
        </w:tc>
        <w:tc>
          <w:tcPr>
            <w:tcW w:w="597"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184698</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0.8128</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0.707</w:t>
            </w:r>
          </w:p>
        </w:tc>
        <w:tc>
          <w:tcPr>
            <w:tcW w:w="529"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13.18%</w:t>
            </w:r>
          </w:p>
        </w:tc>
        <w:tc>
          <w:tcPr>
            <w:tcW w:w="655"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-2.40%</w:t>
            </w:r>
          </w:p>
        </w:tc>
        <w:tc>
          <w:tcPr>
            <w:tcW w:w="537"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-2.21%</w:t>
            </w:r>
          </w:p>
        </w:tc>
        <w:tc>
          <w:tcPr>
            <w:tcW w:w="698"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052737"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基金同盛</w:t>
            </w:r>
          </w:p>
        </w:tc>
        <w:tc>
          <w:tcPr>
            <w:tcW w:w="597"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184699</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0.9878</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0.851</w:t>
            </w:r>
          </w:p>
        </w:tc>
        <w:tc>
          <w:tcPr>
            <w:tcW w:w="529"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13.04%</w:t>
            </w:r>
          </w:p>
        </w:tc>
        <w:tc>
          <w:tcPr>
            <w:tcW w:w="655"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-2.39%</w:t>
            </w:r>
          </w:p>
        </w:tc>
        <w:tc>
          <w:tcPr>
            <w:tcW w:w="537"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-3.30%</w:t>
            </w:r>
          </w:p>
        </w:tc>
        <w:tc>
          <w:tcPr>
            <w:tcW w:w="698"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052737"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基金景福</w:t>
            </w:r>
          </w:p>
        </w:tc>
        <w:tc>
          <w:tcPr>
            <w:tcW w:w="597"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184701</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0.9042</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0.781</w:t>
            </w:r>
          </w:p>
        </w:tc>
        <w:tc>
          <w:tcPr>
            <w:tcW w:w="529"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13.87%</w:t>
            </w:r>
          </w:p>
        </w:tc>
        <w:tc>
          <w:tcPr>
            <w:tcW w:w="655"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-2.77%</w:t>
            </w:r>
          </w:p>
        </w:tc>
        <w:tc>
          <w:tcPr>
            <w:tcW w:w="537"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-2.50%</w:t>
            </w:r>
          </w:p>
        </w:tc>
        <w:tc>
          <w:tcPr>
            <w:tcW w:w="698"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052737"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基金丰和</w:t>
            </w:r>
          </w:p>
        </w:tc>
        <w:tc>
          <w:tcPr>
            <w:tcW w:w="597"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184721</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0.8692</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0.721</w:t>
            </w:r>
          </w:p>
        </w:tc>
        <w:tc>
          <w:tcPr>
            <w:tcW w:w="529"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17.26%</w:t>
            </w:r>
          </w:p>
        </w:tc>
        <w:tc>
          <w:tcPr>
            <w:tcW w:w="655"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-2.82%</w:t>
            </w:r>
          </w:p>
        </w:tc>
        <w:tc>
          <w:tcPr>
            <w:tcW w:w="537"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-2.57%</w:t>
            </w:r>
          </w:p>
        </w:tc>
        <w:tc>
          <w:tcPr>
            <w:tcW w:w="698"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052737"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proofErr w:type="gramStart"/>
            <w:r w:rsidRPr="00052737">
              <w:rPr>
                <w:rFonts w:asciiTheme="minorEastAsia" w:eastAsiaTheme="minorEastAsia" w:hAnsiTheme="minorEastAsia" w:hint="eastAsia"/>
                <w:color w:val="000000"/>
                <w:sz w:val="18"/>
                <w:szCs w:val="18"/>
              </w:rPr>
              <w:t>基金久嘉</w:t>
            </w:r>
            <w:proofErr w:type="gramEnd"/>
          </w:p>
        </w:tc>
        <w:tc>
          <w:tcPr>
            <w:tcW w:w="597"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184722</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0.7836</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0.639</w:t>
            </w:r>
          </w:p>
        </w:tc>
        <w:tc>
          <w:tcPr>
            <w:tcW w:w="529"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color w:val="FF0000"/>
                <w:sz w:val="18"/>
                <w:szCs w:val="18"/>
              </w:rPr>
            </w:pPr>
            <w:r w:rsidRPr="00052737">
              <w:rPr>
                <w:rFonts w:asciiTheme="minorEastAsia" w:eastAsiaTheme="minorEastAsia" w:hAnsiTheme="minorEastAsia" w:hint="eastAsia"/>
                <w:color w:val="FF0000"/>
                <w:sz w:val="18"/>
                <w:szCs w:val="18"/>
              </w:rPr>
              <w:t>18.19%</w:t>
            </w:r>
          </w:p>
        </w:tc>
        <w:tc>
          <w:tcPr>
            <w:tcW w:w="655"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-1.98%</w:t>
            </w:r>
          </w:p>
        </w:tc>
        <w:tc>
          <w:tcPr>
            <w:tcW w:w="537"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-2.29%</w:t>
            </w:r>
          </w:p>
        </w:tc>
        <w:tc>
          <w:tcPr>
            <w:tcW w:w="698"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052737"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proofErr w:type="gramStart"/>
            <w:r w:rsidRPr="00052737">
              <w:rPr>
                <w:rFonts w:asciiTheme="minorEastAsia" w:eastAsiaTheme="minorEastAsia" w:hAnsiTheme="minorEastAsia" w:hint="eastAsia"/>
                <w:color w:val="000000"/>
                <w:sz w:val="18"/>
                <w:szCs w:val="18"/>
              </w:rPr>
              <w:t>基金鸿阳</w:t>
            </w:r>
            <w:proofErr w:type="gramEnd"/>
          </w:p>
        </w:tc>
        <w:tc>
          <w:tcPr>
            <w:tcW w:w="597"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184728</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0.625</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0.524</w:t>
            </w:r>
          </w:p>
        </w:tc>
        <w:tc>
          <w:tcPr>
            <w:tcW w:w="529"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16.92%</w:t>
            </w:r>
          </w:p>
        </w:tc>
        <w:tc>
          <w:tcPr>
            <w:tcW w:w="655" w:type="pct"/>
            <w:tcBorders>
              <w:top w:val="nil"/>
              <w:left w:val="nil"/>
              <w:bottom w:val="single" w:sz="4" w:space="0" w:color="auto"/>
              <w:right w:val="single" w:sz="4" w:space="0" w:color="auto"/>
            </w:tcBorders>
            <w:vAlign w:val="center"/>
          </w:tcPr>
          <w:p w:rsidR="00052737" w:rsidRPr="00454CD3" w:rsidRDefault="00052737">
            <w:pPr>
              <w:jc w:val="center"/>
              <w:rPr>
                <w:rFonts w:asciiTheme="minorEastAsia" w:eastAsiaTheme="minorEastAsia" w:hAnsiTheme="minorEastAsia" w:cs="宋体"/>
                <w:sz w:val="18"/>
                <w:szCs w:val="18"/>
              </w:rPr>
            </w:pPr>
            <w:r w:rsidRPr="00454CD3">
              <w:rPr>
                <w:rFonts w:asciiTheme="minorEastAsia" w:eastAsiaTheme="minorEastAsia" w:hAnsiTheme="minorEastAsia" w:hint="eastAsia"/>
                <w:sz w:val="18"/>
                <w:szCs w:val="18"/>
              </w:rPr>
              <w:t>-3.13%</w:t>
            </w:r>
          </w:p>
        </w:tc>
        <w:tc>
          <w:tcPr>
            <w:tcW w:w="537"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-2.24%</w:t>
            </w:r>
          </w:p>
        </w:tc>
        <w:tc>
          <w:tcPr>
            <w:tcW w:w="698"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052737"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w:t>
            </w:r>
            <w:proofErr w:type="gramStart"/>
            <w:r w:rsidRPr="00052737">
              <w:rPr>
                <w:rFonts w:asciiTheme="minorEastAsia" w:eastAsiaTheme="minorEastAsia" w:hAnsiTheme="minorEastAsia" w:hint="eastAsia"/>
                <w:color w:val="000000"/>
                <w:sz w:val="18"/>
                <w:szCs w:val="18"/>
              </w:rPr>
              <w:t>金</w:t>
            </w:r>
            <w:proofErr w:type="gramEnd"/>
            <w:r w:rsidRPr="00052737">
              <w:rPr>
                <w:rFonts w:asciiTheme="minorEastAsia" w:eastAsiaTheme="minorEastAsia" w:hAnsiTheme="minorEastAsia" w:hint="eastAsia"/>
                <w:color w:val="000000"/>
                <w:sz w:val="18"/>
                <w:szCs w:val="18"/>
              </w:rPr>
              <w:t>泰</w:t>
            </w:r>
          </w:p>
        </w:tc>
        <w:tc>
          <w:tcPr>
            <w:tcW w:w="597"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500001</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0.9139</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0.886</w:t>
            </w:r>
          </w:p>
        </w:tc>
        <w:tc>
          <w:tcPr>
            <w:tcW w:w="529"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3.04%</w:t>
            </w:r>
          </w:p>
        </w:tc>
        <w:tc>
          <w:tcPr>
            <w:tcW w:w="655" w:type="pct"/>
            <w:tcBorders>
              <w:top w:val="nil"/>
              <w:left w:val="nil"/>
              <w:bottom w:val="single" w:sz="4" w:space="0" w:color="auto"/>
              <w:right w:val="single" w:sz="4" w:space="0" w:color="auto"/>
            </w:tcBorders>
            <w:vAlign w:val="center"/>
          </w:tcPr>
          <w:p w:rsidR="00052737" w:rsidRPr="00454CD3" w:rsidRDefault="00052737">
            <w:pPr>
              <w:jc w:val="center"/>
              <w:rPr>
                <w:rFonts w:asciiTheme="minorEastAsia" w:eastAsiaTheme="minorEastAsia" w:hAnsiTheme="minorEastAsia" w:cs="宋体"/>
                <w:color w:val="FF0000"/>
                <w:sz w:val="18"/>
                <w:szCs w:val="18"/>
              </w:rPr>
            </w:pPr>
            <w:r w:rsidRPr="00454CD3">
              <w:rPr>
                <w:rFonts w:asciiTheme="minorEastAsia" w:eastAsiaTheme="minorEastAsia" w:hAnsiTheme="minorEastAsia" w:hint="eastAsia"/>
                <w:color w:val="FF0000"/>
                <w:sz w:val="18"/>
                <w:szCs w:val="18"/>
              </w:rPr>
              <w:t>0.01%</w:t>
            </w:r>
          </w:p>
        </w:tc>
        <w:tc>
          <w:tcPr>
            <w:tcW w:w="537" w:type="pct"/>
            <w:tcBorders>
              <w:top w:val="nil"/>
              <w:left w:val="nil"/>
              <w:bottom w:val="single" w:sz="4" w:space="0" w:color="auto"/>
              <w:right w:val="single" w:sz="4" w:space="0" w:color="auto"/>
            </w:tcBorders>
            <w:vAlign w:val="center"/>
          </w:tcPr>
          <w:p w:rsidR="00052737" w:rsidRPr="00454CD3" w:rsidRDefault="00052737">
            <w:pPr>
              <w:jc w:val="center"/>
              <w:rPr>
                <w:rFonts w:asciiTheme="minorEastAsia" w:eastAsiaTheme="minorEastAsia" w:hAnsiTheme="minorEastAsia" w:cs="宋体"/>
                <w:color w:val="FF0000"/>
                <w:sz w:val="18"/>
                <w:szCs w:val="18"/>
              </w:rPr>
            </w:pPr>
            <w:r w:rsidRPr="00454CD3">
              <w:rPr>
                <w:rFonts w:asciiTheme="minorEastAsia" w:eastAsiaTheme="minorEastAsia" w:hAnsiTheme="minorEastAsia" w:hint="eastAsia"/>
                <w:color w:val="FF0000"/>
                <w:sz w:val="18"/>
                <w:szCs w:val="18"/>
              </w:rPr>
              <w:t>0.00%</w:t>
            </w:r>
          </w:p>
        </w:tc>
        <w:tc>
          <w:tcPr>
            <w:tcW w:w="698"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052737"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基金泰和</w:t>
            </w:r>
          </w:p>
        </w:tc>
        <w:tc>
          <w:tcPr>
            <w:tcW w:w="597"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500002</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0.9474</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0.86</w:t>
            </w:r>
          </w:p>
        </w:tc>
        <w:tc>
          <w:tcPr>
            <w:tcW w:w="529"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9.25%</w:t>
            </w:r>
          </w:p>
        </w:tc>
        <w:tc>
          <w:tcPr>
            <w:tcW w:w="655"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-2.96%</w:t>
            </w:r>
          </w:p>
        </w:tc>
        <w:tc>
          <w:tcPr>
            <w:tcW w:w="537"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-2.93%</w:t>
            </w:r>
          </w:p>
        </w:tc>
        <w:tc>
          <w:tcPr>
            <w:tcW w:w="698"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052737"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基金安信</w:t>
            </w:r>
          </w:p>
        </w:tc>
        <w:tc>
          <w:tcPr>
            <w:tcW w:w="597"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500003</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0.9098</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0.859</w:t>
            </w:r>
          </w:p>
        </w:tc>
        <w:tc>
          <w:tcPr>
            <w:tcW w:w="529"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5.26%</w:t>
            </w:r>
          </w:p>
        </w:tc>
        <w:tc>
          <w:tcPr>
            <w:tcW w:w="655"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-2.16%</w:t>
            </w:r>
          </w:p>
        </w:tc>
        <w:tc>
          <w:tcPr>
            <w:tcW w:w="537"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-2.50%</w:t>
            </w:r>
          </w:p>
        </w:tc>
        <w:tc>
          <w:tcPr>
            <w:tcW w:w="698"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052737"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基金汉盛</w:t>
            </w:r>
          </w:p>
        </w:tc>
        <w:tc>
          <w:tcPr>
            <w:tcW w:w="597"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500005</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1.0254</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0.923</w:t>
            </w:r>
          </w:p>
        </w:tc>
        <w:tc>
          <w:tcPr>
            <w:tcW w:w="529"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9.79%</w:t>
            </w:r>
          </w:p>
        </w:tc>
        <w:tc>
          <w:tcPr>
            <w:tcW w:w="655"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-1.90%</w:t>
            </w:r>
          </w:p>
        </w:tc>
        <w:tc>
          <w:tcPr>
            <w:tcW w:w="537"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-2.12%</w:t>
            </w:r>
          </w:p>
        </w:tc>
        <w:tc>
          <w:tcPr>
            <w:tcW w:w="698"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052737"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基金裕阳</w:t>
            </w:r>
          </w:p>
        </w:tc>
        <w:tc>
          <w:tcPr>
            <w:tcW w:w="597"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500006</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0.8108</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0.761</w:t>
            </w:r>
          </w:p>
        </w:tc>
        <w:tc>
          <w:tcPr>
            <w:tcW w:w="529"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6.18%</w:t>
            </w:r>
          </w:p>
        </w:tc>
        <w:tc>
          <w:tcPr>
            <w:tcW w:w="655" w:type="pct"/>
            <w:tcBorders>
              <w:top w:val="nil"/>
              <w:left w:val="nil"/>
              <w:bottom w:val="single" w:sz="4" w:space="0" w:color="auto"/>
              <w:right w:val="single" w:sz="4" w:space="0" w:color="auto"/>
            </w:tcBorders>
            <w:vAlign w:val="center"/>
          </w:tcPr>
          <w:p w:rsidR="00052737" w:rsidRPr="00454CD3" w:rsidRDefault="00052737">
            <w:pPr>
              <w:jc w:val="center"/>
              <w:rPr>
                <w:rFonts w:asciiTheme="minorEastAsia" w:eastAsiaTheme="minorEastAsia" w:hAnsiTheme="minorEastAsia" w:cs="宋体"/>
                <w:sz w:val="18"/>
                <w:szCs w:val="18"/>
              </w:rPr>
            </w:pPr>
            <w:r w:rsidRPr="00454CD3">
              <w:rPr>
                <w:rFonts w:asciiTheme="minorEastAsia" w:eastAsiaTheme="minorEastAsia" w:hAnsiTheme="minorEastAsia" w:hint="eastAsia"/>
                <w:sz w:val="18"/>
                <w:szCs w:val="18"/>
              </w:rPr>
              <w:t>-1.72%</w:t>
            </w:r>
          </w:p>
        </w:tc>
        <w:tc>
          <w:tcPr>
            <w:tcW w:w="537"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-1.68%</w:t>
            </w:r>
          </w:p>
        </w:tc>
        <w:tc>
          <w:tcPr>
            <w:tcW w:w="698"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052737"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基金兴华</w:t>
            </w:r>
          </w:p>
        </w:tc>
        <w:tc>
          <w:tcPr>
            <w:tcW w:w="597"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500008</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0.8728</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0.84</w:t>
            </w:r>
          </w:p>
        </w:tc>
        <w:tc>
          <w:tcPr>
            <w:tcW w:w="529"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3.77%</w:t>
            </w:r>
          </w:p>
        </w:tc>
        <w:tc>
          <w:tcPr>
            <w:tcW w:w="655"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-2.57%</w:t>
            </w:r>
          </w:p>
        </w:tc>
        <w:tc>
          <w:tcPr>
            <w:tcW w:w="537"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-2.55%</w:t>
            </w:r>
          </w:p>
        </w:tc>
        <w:tc>
          <w:tcPr>
            <w:tcW w:w="698"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052737" w:rsidRPr="00052737" w:rsidTr="00BC5441">
        <w:trPr>
          <w:trHeight w:val="278"/>
          <w:jc w:val="center"/>
        </w:trPr>
        <w:tc>
          <w:tcPr>
            <w:tcW w:w="624" w:type="pct"/>
            <w:tcBorders>
              <w:top w:val="nil"/>
              <w:left w:val="single" w:sz="4" w:space="0" w:color="auto"/>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基金安顺</w:t>
            </w:r>
          </w:p>
        </w:tc>
        <w:tc>
          <w:tcPr>
            <w:tcW w:w="597"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500009</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0.9312</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0.845</w:t>
            </w:r>
          </w:p>
        </w:tc>
        <w:tc>
          <w:tcPr>
            <w:tcW w:w="529"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9.72%</w:t>
            </w:r>
          </w:p>
        </w:tc>
        <w:tc>
          <w:tcPr>
            <w:tcW w:w="655"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-2.70%</w:t>
            </w:r>
          </w:p>
        </w:tc>
        <w:tc>
          <w:tcPr>
            <w:tcW w:w="537"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-2.20%</w:t>
            </w:r>
          </w:p>
        </w:tc>
        <w:tc>
          <w:tcPr>
            <w:tcW w:w="698"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052737"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基金金鑫</w:t>
            </w:r>
          </w:p>
        </w:tc>
        <w:tc>
          <w:tcPr>
            <w:tcW w:w="597"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500011</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0.9578</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0.824</w:t>
            </w:r>
          </w:p>
        </w:tc>
        <w:tc>
          <w:tcPr>
            <w:tcW w:w="529"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14.14%</w:t>
            </w:r>
          </w:p>
        </w:tc>
        <w:tc>
          <w:tcPr>
            <w:tcW w:w="655"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-2.79%</w:t>
            </w:r>
          </w:p>
        </w:tc>
        <w:tc>
          <w:tcPr>
            <w:tcW w:w="537"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-2.60%</w:t>
            </w:r>
          </w:p>
        </w:tc>
        <w:tc>
          <w:tcPr>
            <w:tcW w:w="698"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052737"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基金汉兴</w:t>
            </w:r>
          </w:p>
        </w:tc>
        <w:tc>
          <w:tcPr>
            <w:tcW w:w="597"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500015</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0.8722</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0.752</w:t>
            </w:r>
          </w:p>
        </w:tc>
        <w:tc>
          <w:tcPr>
            <w:tcW w:w="529"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14.04%</w:t>
            </w:r>
          </w:p>
        </w:tc>
        <w:tc>
          <w:tcPr>
            <w:tcW w:w="655"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-2.75%</w:t>
            </w:r>
          </w:p>
        </w:tc>
        <w:tc>
          <w:tcPr>
            <w:tcW w:w="537"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-2.46%</w:t>
            </w:r>
          </w:p>
        </w:tc>
        <w:tc>
          <w:tcPr>
            <w:tcW w:w="698"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052737"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基金兴和</w:t>
            </w:r>
          </w:p>
        </w:tc>
        <w:tc>
          <w:tcPr>
            <w:tcW w:w="597"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500018</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0.8719</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0.758</w:t>
            </w:r>
          </w:p>
        </w:tc>
        <w:tc>
          <w:tcPr>
            <w:tcW w:w="529"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12.15%</w:t>
            </w:r>
          </w:p>
        </w:tc>
        <w:tc>
          <w:tcPr>
            <w:tcW w:w="655"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-2.43%</w:t>
            </w:r>
          </w:p>
        </w:tc>
        <w:tc>
          <w:tcPr>
            <w:tcW w:w="537" w:type="pct"/>
            <w:tcBorders>
              <w:top w:val="nil"/>
              <w:left w:val="nil"/>
              <w:bottom w:val="single" w:sz="4" w:space="0" w:color="auto"/>
              <w:right w:val="single" w:sz="4" w:space="0" w:color="auto"/>
            </w:tcBorders>
            <w:vAlign w:val="center"/>
          </w:tcPr>
          <w:p w:rsidR="00052737" w:rsidRPr="00454CD3" w:rsidRDefault="00052737">
            <w:pPr>
              <w:jc w:val="center"/>
              <w:rPr>
                <w:rFonts w:asciiTheme="minorEastAsia" w:eastAsiaTheme="minorEastAsia" w:hAnsiTheme="minorEastAsia" w:cs="宋体"/>
                <w:color w:val="00B050"/>
                <w:sz w:val="18"/>
                <w:szCs w:val="18"/>
              </w:rPr>
            </w:pPr>
            <w:r w:rsidRPr="00454CD3">
              <w:rPr>
                <w:rFonts w:asciiTheme="minorEastAsia" w:eastAsiaTheme="minorEastAsia" w:hAnsiTheme="minorEastAsia" w:hint="eastAsia"/>
                <w:color w:val="00B050"/>
                <w:sz w:val="18"/>
                <w:szCs w:val="18"/>
              </w:rPr>
              <w:t>-3.44%</w:t>
            </w:r>
          </w:p>
        </w:tc>
        <w:tc>
          <w:tcPr>
            <w:tcW w:w="698"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052737"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proofErr w:type="gramStart"/>
            <w:r w:rsidRPr="00052737">
              <w:rPr>
                <w:rFonts w:asciiTheme="minorEastAsia" w:eastAsiaTheme="minorEastAsia" w:hAnsiTheme="minorEastAsia" w:hint="eastAsia"/>
                <w:color w:val="000000"/>
                <w:sz w:val="18"/>
                <w:szCs w:val="18"/>
              </w:rPr>
              <w:t>基金通乾</w:t>
            </w:r>
            <w:proofErr w:type="gramEnd"/>
          </w:p>
        </w:tc>
        <w:tc>
          <w:tcPr>
            <w:tcW w:w="597"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500038</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0.9609</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0.819</w:t>
            </w:r>
          </w:p>
        </w:tc>
        <w:tc>
          <w:tcPr>
            <w:tcW w:w="529"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13.13%</w:t>
            </w:r>
          </w:p>
        </w:tc>
        <w:tc>
          <w:tcPr>
            <w:tcW w:w="655"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-2.14%</w:t>
            </w:r>
          </w:p>
        </w:tc>
        <w:tc>
          <w:tcPr>
            <w:tcW w:w="537" w:type="pct"/>
            <w:tcBorders>
              <w:top w:val="nil"/>
              <w:left w:val="nil"/>
              <w:bottom w:val="single" w:sz="4" w:space="0" w:color="auto"/>
              <w:right w:val="single" w:sz="4" w:space="0" w:color="auto"/>
            </w:tcBorders>
            <w:vAlign w:val="center"/>
          </w:tcPr>
          <w:p w:rsidR="00052737" w:rsidRPr="00454CD3" w:rsidRDefault="00052737">
            <w:pPr>
              <w:jc w:val="center"/>
              <w:rPr>
                <w:rFonts w:asciiTheme="minorEastAsia" w:eastAsiaTheme="minorEastAsia" w:hAnsiTheme="minorEastAsia" w:cs="宋体"/>
                <w:color w:val="00B050"/>
                <w:sz w:val="18"/>
                <w:szCs w:val="18"/>
              </w:rPr>
            </w:pPr>
            <w:r w:rsidRPr="00454CD3">
              <w:rPr>
                <w:rFonts w:asciiTheme="minorEastAsia" w:eastAsiaTheme="minorEastAsia" w:hAnsiTheme="minorEastAsia" w:hint="eastAsia"/>
                <w:color w:val="00B050"/>
                <w:sz w:val="18"/>
                <w:szCs w:val="18"/>
              </w:rPr>
              <w:t>-3.99%</w:t>
            </w:r>
          </w:p>
        </w:tc>
        <w:tc>
          <w:tcPr>
            <w:tcW w:w="698"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052737"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基金科瑞</w:t>
            </w:r>
          </w:p>
        </w:tc>
        <w:tc>
          <w:tcPr>
            <w:tcW w:w="597"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500056</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0.8768</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0.722</w:t>
            </w:r>
          </w:p>
        </w:tc>
        <w:tc>
          <w:tcPr>
            <w:tcW w:w="529"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color w:val="FF0000"/>
                <w:sz w:val="18"/>
                <w:szCs w:val="18"/>
              </w:rPr>
            </w:pPr>
            <w:r w:rsidRPr="00052737">
              <w:rPr>
                <w:rFonts w:asciiTheme="minorEastAsia" w:eastAsiaTheme="minorEastAsia" w:hAnsiTheme="minorEastAsia" w:hint="eastAsia"/>
                <w:color w:val="FF0000"/>
                <w:sz w:val="18"/>
                <w:szCs w:val="18"/>
              </w:rPr>
              <w:t>17.55%</w:t>
            </w:r>
          </w:p>
        </w:tc>
        <w:tc>
          <w:tcPr>
            <w:tcW w:w="655"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-2.57%</w:t>
            </w:r>
          </w:p>
        </w:tc>
        <w:tc>
          <w:tcPr>
            <w:tcW w:w="537"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-2.70%</w:t>
            </w:r>
          </w:p>
        </w:tc>
        <w:tc>
          <w:tcPr>
            <w:tcW w:w="698"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r w:rsidR="00052737" w:rsidRPr="00052737" w:rsidTr="00BC5441">
        <w:trPr>
          <w:trHeight w:val="300"/>
          <w:jc w:val="center"/>
        </w:trPr>
        <w:tc>
          <w:tcPr>
            <w:tcW w:w="624" w:type="pct"/>
            <w:tcBorders>
              <w:top w:val="nil"/>
              <w:left w:val="single" w:sz="4" w:space="0" w:color="auto"/>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基金银丰</w:t>
            </w:r>
          </w:p>
        </w:tc>
        <w:tc>
          <w:tcPr>
            <w:tcW w:w="597"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500058</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0.822</w:t>
            </w:r>
          </w:p>
        </w:tc>
        <w:tc>
          <w:tcPr>
            <w:tcW w:w="680" w:type="pct"/>
            <w:tcBorders>
              <w:top w:val="nil"/>
              <w:left w:val="nil"/>
              <w:bottom w:val="single" w:sz="4" w:space="0" w:color="auto"/>
              <w:right w:val="single" w:sz="4" w:space="0" w:color="auto"/>
            </w:tcBorders>
            <w:vAlign w:val="center"/>
          </w:tcPr>
          <w:p w:rsidR="00052737" w:rsidRPr="00052737" w:rsidRDefault="00052737">
            <w:pPr>
              <w:jc w:val="right"/>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0.687</w:t>
            </w:r>
          </w:p>
        </w:tc>
        <w:tc>
          <w:tcPr>
            <w:tcW w:w="529"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color w:val="FF0000"/>
                <w:sz w:val="18"/>
                <w:szCs w:val="18"/>
              </w:rPr>
            </w:pPr>
            <w:r w:rsidRPr="00052737">
              <w:rPr>
                <w:rFonts w:asciiTheme="minorEastAsia" w:eastAsiaTheme="minorEastAsia" w:hAnsiTheme="minorEastAsia" w:hint="eastAsia"/>
                <w:color w:val="FF0000"/>
                <w:sz w:val="18"/>
                <w:szCs w:val="18"/>
              </w:rPr>
              <w:t>17.69%</w:t>
            </w:r>
          </w:p>
        </w:tc>
        <w:tc>
          <w:tcPr>
            <w:tcW w:w="655" w:type="pct"/>
            <w:tcBorders>
              <w:top w:val="nil"/>
              <w:left w:val="nil"/>
              <w:bottom w:val="single" w:sz="4" w:space="0" w:color="auto"/>
              <w:right w:val="single" w:sz="4" w:space="0" w:color="auto"/>
            </w:tcBorders>
            <w:vAlign w:val="center"/>
          </w:tcPr>
          <w:p w:rsidR="00052737" w:rsidRPr="00454CD3" w:rsidRDefault="00052737">
            <w:pPr>
              <w:jc w:val="center"/>
              <w:rPr>
                <w:rFonts w:asciiTheme="minorEastAsia" w:eastAsiaTheme="minorEastAsia" w:hAnsiTheme="minorEastAsia" w:cs="宋体"/>
                <w:color w:val="00B050"/>
                <w:sz w:val="18"/>
                <w:szCs w:val="18"/>
              </w:rPr>
            </w:pPr>
            <w:r w:rsidRPr="00454CD3">
              <w:rPr>
                <w:rFonts w:asciiTheme="minorEastAsia" w:eastAsiaTheme="minorEastAsia" w:hAnsiTheme="minorEastAsia" w:hint="eastAsia"/>
                <w:color w:val="00B050"/>
                <w:sz w:val="18"/>
                <w:szCs w:val="18"/>
              </w:rPr>
              <w:t>-4.31%</w:t>
            </w:r>
          </w:p>
        </w:tc>
        <w:tc>
          <w:tcPr>
            <w:tcW w:w="537" w:type="pct"/>
            <w:tcBorders>
              <w:top w:val="nil"/>
              <w:left w:val="nil"/>
              <w:bottom w:val="single" w:sz="4" w:space="0" w:color="auto"/>
              <w:right w:val="single" w:sz="4" w:space="0" w:color="auto"/>
            </w:tcBorders>
            <w:vAlign w:val="center"/>
          </w:tcPr>
          <w:p w:rsidR="00052737" w:rsidRPr="00052737" w:rsidRDefault="00052737">
            <w:pPr>
              <w:jc w:val="center"/>
              <w:rPr>
                <w:rFonts w:asciiTheme="minorEastAsia" w:eastAsiaTheme="minorEastAsia" w:hAnsiTheme="minorEastAsia" w:cs="宋体"/>
                <w:sz w:val="18"/>
                <w:szCs w:val="18"/>
              </w:rPr>
            </w:pPr>
            <w:r w:rsidRPr="00052737">
              <w:rPr>
                <w:rFonts w:asciiTheme="minorEastAsia" w:eastAsiaTheme="minorEastAsia" w:hAnsiTheme="minorEastAsia" w:hint="eastAsia"/>
                <w:sz w:val="18"/>
                <w:szCs w:val="18"/>
              </w:rPr>
              <w:t>-2.83%</w:t>
            </w:r>
          </w:p>
        </w:tc>
        <w:tc>
          <w:tcPr>
            <w:tcW w:w="698" w:type="pct"/>
            <w:tcBorders>
              <w:top w:val="nil"/>
              <w:left w:val="nil"/>
              <w:bottom w:val="single" w:sz="4" w:space="0" w:color="auto"/>
              <w:right w:val="single" w:sz="4" w:space="0" w:color="auto"/>
            </w:tcBorders>
            <w:vAlign w:val="center"/>
          </w:tcPr>
          <w:p w:rsidR="00052737" w:rsidRPr="00052737" w:rsidRDefault="00052737">
            <w:pPr>
              <w:rPr>
                <w:rFonts w:asciiTheme="minorEastAsia" w:eastAsiaTheme="minorEastAsia" w:hAnsiTheme="minorEastAsia" w:cs="宋体"/>
                <w:color w:val="000000"/>
                <w:sz w:val="18"/>
                <w:szCs w:val="18"/>
              </w:rPr>
            </w:pPr>
            <w:r w:rsidRPr="00052737">
              <w:rPr>
                <w:rFonts w:asciiTheme="minorEastAsia" w:eastAsiaTheme="minorEastAsia" w:hAnsiTheme="minorEastAsia" w:hint="eastAsia"/>
                <w:color w:val="000000"/>
                <w:sz w:val="18"/>
                <w:szCs w:val="18"/>
              </w:rPr>
              <w:t>★★★★</w:t>
            </w:r>
          </w:p>
        </w:tc>
      </w:tr>
    </w:tbl>
    <w:p w:rsidR="006F0BD6" w:rsidRDefault="009179E2" w:rsidP="006F0BD6">
      <w:r>
        <w:rPr>
          <w:rFonts w:hint="eastAsia"/>
        </w:rPr>
        <w:t>资料来源：</w:t>
      </w:r>
      <w:r w:rsidR="006F0BD6">
        <w:rPr>
          <w:rFonts w:hint="eastAsia"/>
        </w:rPr>
        <w:t>济安金信基金综合评价系统（计算日期：</w:t>
      </w:r>
      <w:r w:rsidR="006F0BD6">
        <w:rPr>
          <w:rFonts w:ascii="宋体" w:hAnsi="宋体" w:hint="eastAsia"/>
        </w:rPr>
        <w:t>201</w:t>
      </w:r>
      <w:r w:rsidR="00753B8C">
        <w:rPr>
          <w:rFonts w:ascii="宋体" w:hAnsi="宋体" w:hint="eastAsia"/>
        </w:rPr>
        <w:t>2</w:t>
      </w:r>
      <w:r w:rsidR="006F0BD6">
        <w:rPr>
          <w:rFonts w:ascii="宋体" w:hAnsi="宋体" w:hint="eastAsia"/>
        </w:rPr>
        <w:t>-</w:t>
      </w:r>
      <w:r w:rsidR="002F4110">
        <w:rPr>
          <w:rFonts w:ascii="宋体" w:hAnsi="宋体" w:hint="eastAsia"/>
        </w:rPr>
        <w:t>1</w:t>
      </w:r>
      <w:r w:rsidR="00C80869">
        <w:rPr>
          <w:rFonts w:ascii="宋体" w:hAnsi="宋体" w:hint="eastAsia"/>
        </w:rPr>
        <w:t>1</w:t>
      </w:r>
      <w:r w:rsidR="006F0BD6">
        <w:rPr>
          <w:rFonts w:ascii="宋体" w:hAnsi="宋体" w:hint="eastAsia"/>
        </w:rPr>
        <w:t>-</w:t>
      </w:r>
      <w:r w:rsidR="00C80869">
        <w:rPr>
          <w:rFonts w:ascii="宋体" w:hAnsi="宋体" w:hint="eastAsia"/>
        </w:rPr>
        <w:t>0</w:t>
      </w:r>
      <w:r w:rsidR="00A75013">
        <w:rPr>
          <w:rFonts w:ascii="宋体" w:hAnsi="宋体" w:hint="eastAsia"/>
        </w:rPr>
        <w:t>9</w:t>
      </w:r>
      <w:r w:rsidR="006F0BD6">
        <w:rPr>
          <w:rFonts w:hint="eastAsia"/>
        </w:rPr>
        <w:t>）</w:t>
      </w:r>
    </w:p>
    <w:p w:rsidR="006F0BD6" w:rsidRDefault="006F0BD6" w:rsidP="006F0BD6">
      <w:r>
        <w:rPr>
          <w:rFonts w:hint="eastAsia"/>
        </w:rPr>
        <w:t>注释：</w:t>
      </w:r>
      <w:r w:rsidR="002F4110" w:rsidRPr="002F4110">
        <w:rPr>
          <w:rFonts w:asciiTheme="minorEastAsia" w:eastAsiaTheme="minorEastAsia" w:hAnsiTheme="minorEastAsia" w:hint="eastAsia"/>
        </w:rPr>
        <w:t>20</w:t>
      </w:r>
      <w:r w:rsidRPr="002F4110">
        <w:rPr>
          <w:rFonts w:asciiTheme="minorEastAsia" w:eastAsiaTheme="minorEastAsia" w:hAnsiTheme="minorEastAsia" w:hint="eastAsia"/>
        </w:rPr>
        <w:t>1</w:t>
      </w:r>
      <w:r w:rsidR="0009244F" w:rsidRPr="002F4110">
        <w:rPr>
          <w:rFonts w:asciiTheme="minorEastAsia" w:eastAsiaTheme="minorEastAsia" w:hAnsiTheme="minorEastAsia" w:hint="eastAsia"/>
        </w:rPr>
        <w:t>2</w:t>
      </w:r>
      <w:r w:rsidR="005A6DBF" w:rsidRPr="0009244F">
        <w:rPr>
          <w:rFonts w:ascii="宋体" w:hAnsi="宋体" w:hint="eastAsia"/>
        </w:rPr>
        <w:t>年</w:t>
      </w:r>
      <w:r w:rsidR="00DB00CE">
        <w:rPr>
          <w:rFonts w:ascii="宋体" w:hAnsi="宋体" w:hint="eastAsia"/>
        </w:rPr>
        <w:t>三</w:t>
      </w:r>
      <w:r w:rsidRPr="0009244F">
        <w:rPr>
          <w:rFonts w:ascii="宋体" w:hAnsi="宋体" w:hint="eastAsia"/>
        </w:rPr>
        <w:t>季度</w:t>
      </w:r>
      <w:r>
        <w:rPr>
          <w:rFonts w:hint="eastAsia"/>
        </w:rPr>
        <w:t>的基金综合评价结果</w:t>
      </w:r>
    </w:p>
    <w:p w:rsidR="00645A28" w:rsidRDefault="00645A28" w:rsidP="003108A9">
      <w:pPr>
        <w:tabs>
          <w:tab w:val="left" w:pos="635"/>
        </w:tabs>
      </w:pPr>
    </w:p>
    <w:p w:rsidR="00506185" w:rsidRPr="00506185" w:rsidRDefault="00506185" w:rsidP="00755FBD">
      <w:pPr>
        <w:tabs>
          <w:tab w:val="left" w:pos="635"/>
        </w:tabs>
        <w:rPr>
          <w:rFonts w:ascii="宋体" w:hAnsi="宋体"/>
        </w:rPr>
      </w:pPr>
    </w:p>
    <w:p w:rsidR="006F0BD6" w:rsidRDefault="009179E2" w:rsidP="006F0BD6">
      <w:pPr>
        <w:rPr>
          <w:b/>
        </w:rPr>
      </w:pPr>
      <w:r>
        <w:rPr>
          <w:rFonts w:hint="eastAsia"/>
          <w:b/>
        </w:rPr>
        <w:t>附录：</w:t>
      </w:r>
      <w:r w:rsidR="006F0BD6">
        <w:rPr>
          <w:rFonts w:hint="eastAsia"/>
          <w:b/>
        </w:rPr>
        <w:t>济安金信封闭式基金分类说明</w:t>
      </w:r>
    </w:p>
    <w:p w:rsidR="006F0BD6" w:rsidRDefault="006F0BD6" w:rsidP="006F0BD6"/>
    <w:p w:rsidR="006F0BD6" w:rsidRDefault="006F0BD6" w:rsidP="006F0BD6">
      <w:pPr>
        <w:ind w:firstLineChars="200" w:firstLine="400"/>
        <w:rPr>
          <w:rFonts w:ascii="宋体" w:hAnsi="宋体"/>
          <w:szCs w:val="21"/>
        </w:rPr>
      </w:pPr>
      <w:r>
        <w:rPr>
          <w:rFonts w:ascii="宋体" w:hAnsi="宋体" w:hint="eastAsia"/>
          <w:szCs w:val="21"/>
        </w:rPr>
        <w:t>按照基金行业的相关规定，目前国内市场上的基金品种按照大类可以分为：货币型、债券型、股票型、混合型、封闭式、指数型以及QDII基金。各个机构在这一基本分类的基础上，又依据不同的评价标准和原则，对基金进行了二次分类。各个机构在对基金进行细分时大致采取两种方式，一类是机构在遵守相关规定的前提下，依据基金招募书的相关内容进行二次细分，这一类可以叫做事前分类。还有一类就是机构根据基金发布的季报或是年报所公布的资产配置情况来进行二次细分。这一类可以叫做事中（后）分类。</w:t>
      </w:r>
    </w:p>
    <w:p w:rsidR="006F0BD6" w:rsidRDefault="006F0BD6" w:rsidP="006F0BD6">
      <w:pPr>
        <w:ind w:firstLineChars="200" w:firstLine="400"/>
        <w:rPr>
          <w:rFonts w:ascii="宋体" w:hAnsi="宋体"/>
          <w:szCs w:val="21"/>
        </w:rPr>
      </w:pPr>
    </w:p>
    <w:p w:rsidR="00790CA6" w:rsidRPr="00A52312" w:rsidRDefault="006F0BD6" w:rsidP="00A52312">
      <w:pPr>
        <w:ind w:firstLineChars="200" w:firstLine="400"/>
        <w:rPr>
          <w:rFonts w:ascii="宋体" w:hAnsi="宋体"/>
          <w:szCs w:val="21"/>
        </w:rPr>
      </w:pPr>
      <w:r>
        <w:rPr>
          <w:rFonts w:ascii="宋体" w:hAnsi="宋体" w:hint="eastAsia"/>
          <w:szCs w:val="21"/>
        </w:rPr>
        <w:t>济安金信基金评价中心采用的是事前分类方法。具体来说，济安金信基金评价中心的九类</w:t>
      </w:r>
      <w:r>
        <w:rPr>
          <w:rFonts w:ascii="宋体" w:hAnsi="宋体" w:hint="eastAsia"/>
          <w:szCs w:val="21"/>
        </w:rPr>
        <w:lastRenderedPageBreak/>
        <w:t>基金中，封闭式基金是指按照相关规定，采用封闭式运作方式的基金，这类基金经核准的基金份额总额在基金合同期限内固定不变，基金份额可以在依法设立的证券交易场所交易，但基金份额持有人不得申请赎回的基金。封闭式基金又分《证券投资基金运作管理办法》实施前成立的老封基和创新型封基两种。创新类封闭式基金中，仅有针对折价率有“救生艇条款”的基金，济安金信将其归入到封闭式基金。对于有锁定期的、分级的、以固定收益类为主要投资对象的，投资管理方式与开放式基金极为相似的创新性封闭式基金，我们则根据此类基金的具体的投资范围、投资标的，按照开放式基金进行分类。因此，在封闭式基金的具体细分中，济安金信的分类方法与其他的评级机构或研究基金是有所不同的。</w:t>
      </w:r>
      <w:r w:rsidR="00A52312">
        <w:rPr>
          <w:rFonts w:hint="eastAsia"/>
        </w:rPr>
        <w:t xml:space="preserve"> </w:t>
      </w:r>
    </w:p>
    <w:p w:rsidR="00790CA6" w:rsidRPr="006F0BD6" w:rsidRDefault="00790CA6" w:rsidP="00107A83">
      <w:pPr>
        <w:rPr>
          <w:rFonts w:ascii="宋体" w:hAnsi="宋体"/>
          <w:szCs w:val="21"/>
        </w:rPr>
      </w:pPr>
    </w:p>
    <w:sectPr w:rsidR="00790CA6" w:rsidRPr="006F0BD6" w:rsidSect="00F060F6">
      <w:headerReference w:type="even" r:id="rId7"/>
      <w:headerReference w:type="default" r:id="rId8"/>
      <w:footerReference w:type="default" r:id="rId9"/>
      <w:headerReference w:type="first" r:id="rId10"/>
      <w:footerReference w:type="first" r:id="rId11"/>
      <w:pgSz w:w="11906" w:h="16838" w:code="9"/>
      <w:pgMar w:top="1440" w:right="1797" w:bottom="1440" w:left="1797" w:header="851" w:footer="0" w:gutter="0"/>
      <w:cols w:space="425"/>
      <w:titlePg/>
      <w:docGrid w:type="linesAndChars" w:linePitch="348" w:charSpace="-20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2F3" w:rsidRDefault="005D72F3">
      <w:r>
        <w:separator/>
      </w:r>
    </w:p>
  </w:endnote>
  <w:endnote w:type="continuationSeparator" w:id="0">
    <w:p w:rsidR="005D72F3" w:rsidRDefault="005D72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6DF" w:rsidRPr="00A76699" w:rsidRDefault="00232E18" w:rsidP="00822D0D">
    <w:pPr>
      <w:pStyle w:val="a4"/>
      <w:tabs>
        <w:tab w:val="clear" w:pos="8306"/>
      </w:tabs>
      <w:ind w:leftChars="-771" w:left="-1619" w:rightChars="-841" w:right="-1766"/>
    </w:pPr>
    <w:r>
      <w:rPr>
        <w:noProof/>
      </w:rPr>
      <w:pict>
        <v:shapetype id="_x0000_t202" coordsize="21600,21600" o:spt="202" path="m,l,21600r21600,l21600,xe">
          <v:stroke joinstyle="miter"/>
          <v:path gradientshapeok="t" o:connecttype="rect"/>
        </v:shapetype>
        <v:shape id="_x0000_s2071" type="#_x0000_t202" style="position:absolute;left:0;text-align:left;margin-left:-34.35pt;margin-top:-60.5pt;width:521.75pt;height:63.4pt;z-index:251660800" fillcolor="#4f81bd" strokecolor="#bce1c0" strokeweight="1pt">
          <v:fill color2="#243f60" angle="-135" focus="100%" type="gradient"/>
          <v:shadow on="t" type="perspective" color="#b8cce4" opacity=".5" origin=",.5" offset="0,0" matrix=",-56756f,,.5"/>
          <v:textbox>
            <w:txbxContent>
              <w:p w:rsidR="00107A83" w:rsidRPr="00A76699" w:rsidRDefault="00107A83" w:rsidP="00107A83">
                <w:pPr>
                  <w:rPr>
                    <w:color w:val="EAEAEA"/>
                  </w:rPr>
                </w:pPr>
                <w:r w:rsidRPr="00A76699">
                  <w:rPr>
                    <w:rFonts w:hint="eastAsia"/>
                    <w:b/>
                    <w:color w:val="EAEAEA"/>
                  </w:rPr>
                  <w:t>【免责声明】报告中的信息均来</w:t>
                </w:r>
                <w:r w:rsidR="00DE6A85">
                  <w:rPr>
                    <w:rFonts w:hint="eastAsia"/>
                    <w:b/>
                    <w:color w:val="EAEAEA"/>
                  </w:rPr>
                  <w:t>源于公开市场，我公司不保证这些信息的准确和完整。报告中的信息或</w:t>
                </w:r>
                <w:r w:rsidRPr="00A76699">
                  <w:rPr>
                    <w:rFonts w:hint="eastAsia"/>
                    <w:b/>
                    <w:color w:val="EAEAEA"/>
                  </w:rPr>
                  <w:t>所表达的意见并不构成买卖任何证券的依据，投资者依此入市，风险自负。基金的历史绩效只代表以往运作的实际管理能力，据此进行的各种分析不代表任何对基金未来市场表现得承诺和暗示。</w:t>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6DF" w:rsidRDefault="00232E18" w:rsidP="009D67E6">
    <w:pPr>
      <w:pStyle w:val="a4"/>
      <w:ind w:leftChars="-771" w:left="-1619"/>
    </w:pPr>
    <w:r>
      <w:rPr>
        <w:noProof/>
      </w:rPr>
      <w:pict>
        <v:shapetype id="_x0000_t202" coordsize="21600,21600" o:spt="202" path="m,l,21600r21600,l21600,xe">
          <v:stroke joinstyle="miter"/>
          <v:path gradientshapeok="t" o:connecttype="rect"/>
        </v:shapetype>
        <v:shape id="_x0000_s2070" type="#_x0000_t202" style="position:absolute;left:0;text-align:left;margin-left:-46.35pt;margin-top:-61.05pt;width:521.75pt;height:63.4pt;z-index:251659776" fillcolor="#4f81bd" strokecolor="#bce1c0" strokeweight="1pt">
          <v:fill color2="#243f60" angle="-135" focus="100%" type="gradient"/>
          <v:shadow on="t" type="perspective" color="#b8cce4" opacity=".5" origin=",.5" offset="0,0" matrix=",-56756f,,.5"/>
          <v:textbox>
            <w:txbxContent>
              <w:p w:rsidR="00A76699" w:rsidRPr="00A76699" w:rsidRDefault="00A76699">
                <w:pPr>
                  <w:rPr>
                    <w:color w:val="EAEAEA"/>
                  </w:rPr>
                </w:pPr>
                <w:r w:rsidRPr="00A76699">
                  <w:rPr>
                    <w:rFonts w:hint="eastAsia"/>
                    <w:b/>
                    <w:color w:val="EAEAEA"/>
                  </w:rPr>
                  <w:t>【免责声明】报告中的信息均来</w:t>
                </w:r>
                <w:r w:rsidR="00DE6A85">
                  <w:rPr>
                    <w:rFonts w:hint="eastAsia"/>
                    <w:b/>
                    <w:color w:val="EAEAEA"/>
                  </w:rPr>
                  <w:t>源于公开市场，我公司不保证这些信息的准确和完整。报告中的信息或</w:t>
                </w:r>
                <w:r w:rsidRPr="00A76699">
                  <w:rPr>
                    <w:rFonts w:hint="eastAsia"/>
                    <w:b/>
                    <w:color w:val="EAEAEA"/>
                  </w:rPr>
                  <w:t>所表达的意见并不构成买卖任何证券的依据，投资者依此入市，风险自负。基金的历史绩效只代表以往运作的实际管理能力，据此进行的各种分析不代表任何对基金未来市场表现得承诺和暗示。</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2F3" w:rsidRDefault="005D72F3">
      <w:r>
        <w:separator/>
      </w:r>
    </w:p>
  </w:footnote>
  <w:footnote w:type="continuationSeparator" w:id="0">
    <w:p w:rsidR="005D72F3" w:rsidRDefault="005D72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6DF" w:rsidRDefault="00232E18">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6547" o:spid="_x0000_s2050" type="#_x0000_t136" style="position:absolute;left:0;text-align:left;margin-left:0;margin-top:0;width:468.75pt;height:117.15pt;rotation:315;z-index:-251660800;mso-position-horizontal:center;mso-position-horizontal-relative:margin;mso-position-vertical:center;mso-position-vertical-relative:margin" o:allowincell="f" fillcolor="silver" stroked="f">
          <v:fill opacity=".5"/>
          <v:textpath style="font-family:&quot;宋体&quot;;font-size:1pt" string="济安金信"/>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6DF" w:rsidRDefault="00232E18" w:rsidP="001247A3">
    <w:pPr>
      <w:pStyle w:val="a3"/>
      <w:tabs>
        <w:tab w:val="clear" w:pos="4153"/>
        <w:tab w:val="clear" w:pos="8306"/>
        <w:tab w:val="left" w:pos="-1440"/>
      </w:tabs>
      <w:ind w:rightChars="186" w:right="391"/>
      <w:jc w:val="left"/>
    </w:pPr>
    <w:r>
      <w:rPr>
        <w:noProof/>
      </w:rPr>
      <w:pict>
        <v:shapetype id="_x0000_t202" coordsize="21600,21600" o:spt="202" path="m,l,21600r21600,l21600,xe">
          <v:stroke joinstyle="miter"/>
          <v:path gradientshapeok="t" o:connecttype="rect"/>
        </v:shapetype>
        <v:shape id="_x0000_s2064" type="#_x0000_t202" style="position:absolute;margin-left:-6.75pt;margin-top:51.9pt;width:601.5pt;height:18.05pt;z-index:251658752;mso-position-horizontal-relative:page;mso-position-vertical-relative:page;mso-width-relative:margin;v-text-anchor:middle" o:allowincell="f" fillcolor="#1f497d" stroked="f" strokecolor="#92d050">
          <v:fill color2="fill lighten(0)" rotate="t" angle="-90" method="linear sigma" focus="100%" type="gradient"/>
          <v:textbox style="mso-next-textbox:#_x0000_s2064" inset=",0,,0">
            <w:txbxContent>
              <w:p w:rsidR="006606DF" w:rsidRPr="003B5D37" w:rsidRDefault="006606DF">
                <w:pPr>
                  <w:rPr>
                    <w:color w:val="FFFFFF"/>
                  </w:rPr>
                </w:pPr>
                <w:r w:rsidRPr="003B5D37">
                  <w:rPr>
                    <w:rFonts w:hint="eastAsia"/>
                    <w:color w:val="FFFFFF"/>
                    <w:sz w:val="28"/>
                    <w:szCs w:val="28"/>
                  </w:rPr>
                  <w:t>济安金信</w:t>
                </w:r>
                <w:r w:rsidR="00A76699">
                  <w:rPr>
                    <w:rFonts w:hint="eastAsia"/>
                    <w:color w:val="FFFFFF"/>
                    <w:sz w:val="28"/>
                    <w:szCs w:val="28"/>
                  </w:rPr>
                  <w:t>封闭式基金周报</w:t>
                </w:r>
              </w:p>
            </w:txbxContent>
          </v:textbox>
          <w10:wrap anchorx="margin" anchory="margin"/>
        </v:shape>
      </w:pict>
    </w:r>
    <w:r>
      <w:rPr>
        <w:noProof/>
      </w:rPr>
      <w:pict>
        <v:shape id="_x0000_s2063" type="#_x0000_t202" style="position:absolute;margin-left:0;margin-top:29.95pt;width:89.85pt;height:12.05pt;z-index:251657728;mso-width-percent:1000;mso-position-horizontal-relative:page;mso-position-vertical-relative:page;mso-width-percent:1000;mso-width-relative:left-margin-area;v-text-anchor:middle" o:allowincell="f" fillcolor="#4f81bd" stroked="f">
          <v:textbox style="mso-fit-shape-to-text:t" inset=",0,,0">
            <w:txbxContent>
              <w:p w:rsidR="006606DF" w:rsidRPr="00E367F5" w:rsidRDefault="00232E18">
                <w:pPr>
                  <w:jc w:val="right"/>
                  <w:rPr>
                    <w:color w:val="FFFFFF"/>
                  </w:rPr>
                </w:pPr>
                <w:fldSimple w:instr=" PAGE   \* MERGEFORMAT ">
                  <w:r w:rsidR="00454CD3" w:rsidRPr="00454CD3">
                    <w:rPr>
                      <w:noProof/>
                      <w:color w:val="FFFFFF"/>
                      <w:lang w:val="zh-CN"/>
                    </w:rPr>
                    <w:t>3</w:t>
                  </w:r>
                </w:fldSimple>
              </w:p>
            </w:txbxContent>
          </v:textbox>
          <w10:wrap anchorx="page" anchory="margin"/>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6548" o:spid="_x0000_s2051" type="#_x0000_t136" style="position:absolute;margin-left:0;margin-top:0;width:468.75pt;height:117.15pt;rotation:315;z-index:-251659776;mso-position-horizontal:center;mso-position-horizontal-relative:margin;mso-position-vertical:center;mso-position-vertical-relative:margin" o:allowincell="f" fillcolor="silver" stroked="f">
          <v:fill opacity=".5"/>
          <v:textpath style="font-family:&quot;宋体&quot;;font-size:1pt" string="济安金信"/>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6DF" w:rsidRDefault="00232E18" w:rsidP="009D67E6">
    <w:pPr>
      <w:pStyle w:val="a3"/>
      <w:ind w:leftChars="-600" w:left="-1260"/>
      <w:jc w:val="both"/>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6546" o:spid="_x0000_s2049" type="#_x0000_t136" style="position:absolute;left:0;text-align:left;margin-left:0;margin-top:0;width:468.75pt;height:117.15pt;rotation:315;z-index:-251661824;mso-position-horizontal:center;mso-position-horizontal-relative:margin;mso-position-vertical:center;mso-position-vertical-relative:margin" o:allowincell="f" fillcolor="silver" stroked="f">
          <v:fill opacity=".5"/>
          <v:textpath style="font-family:&quot;宋体&quot;;font-size:1pt" string="济安金信"/>
          <w10:wrap anchorx="margin" anchory="margin"/>
        </v:shape>
      </w:pict>
    </w:r>
    <w:r w:rsidR="00A5172C">
      <w:rPr>
        <w:noProof/>
      </w:rPr>
      <w:drawing>
        <wp:inline distT="0" distB="0" distL="0" distR="0">
          <wp:extent cx="1600200" cy="542925"/>
          <wp:effectExtent l="19050" t="0" r="0" b="0"/>
          <wp:docPr id="1" name="图片 1"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标题-1"/>
                  <pic:cNvPicPr>
                    <a:picLocks noChangeAspect="1" noChangeArrowheads="1"/>
                  </pic:cNvPicPr>
                </pic:nvPicPr>
                <pic:blipFill>
                  <a:blip r:embed="rId1"/>
                  <a:srcRect/>
                  <a:stretch>
                    <a:fillRect/>
                  </a:stretch>
                </pic:blipFill>
                <pic:spPr bwMode="auto">
                  <a:xfrm>
                    <a:off x="0" y="0"/>
                    <a:ext cx="1600200" cy="5429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296.25pt;height:267pt" o:bullet="t">
        <v:imagedata r:id="rId1" o:title="无标题-2"/>
      </v:shape>
    </w:pict>
  </w:numPicBullet>
  <w:abstractNum w:abstractNumId="0">
    <w:nsid w:val="0198581F"/>
    <w:multiLevelType w:val="multilevel"/>
    <w:tmpl w:val="5002CF5A"/>
    <w:lvl w:ilvl="0">
      <w:start w:val="1"/>
      <w:numFmt w:val="japaneseCounting"/>
      <w:lvlText w:val="%1、"/>
      <w:lvlJc w:val="left"/>
      <w:pPr>
        <w:tabs>
          <w:tab w:val="num" w:pos="420"/>
        </w:tabs>
        <w:ind w:left="420" w:hanging="420"/>
      </w:pPr>
      <w:rPr>
        <w:rFonts w:hint="default"/>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08732E3"/>
    <w:multiLevelType w:val="hybridMultilevel"/>
    <w:tmpl w:val="83863944"/>
    <w:lvl w:ilvl="0" w:tplc="F3186B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48D4312"/>
    <w:multiLevelType w:val="multilevel"/>
    <w:tmpl w:val="BCA21B72"/>
    <w:lvl w:ilvl="0">
      <w:start w:val="1"/>
      <w:numFmt w:val="bullet"/>
      <w:lvlText w:val=""/>
      <w:lvlPicBulletId w:val="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3">
    <w:nsid w:val="3A7D01E8"/>
    <w:multiLevelType w:val="hybridMultilevel"/>
    <w:tmpl w:val="BCA21B72"/>
    <w:lvl w:ilvl="0" w:tplc="5B8EF2B8">
      <w:start w:val="1"/>
      <w:numFmt w:val="bullet"/>
      <w:lvlText w:val=""/>
      <w:lvlPicBulletId w:val="0"/>
      <w:lvlJc w:val="left"/>
      <w:pPr>
        <w:tabs>
          <w:tab w:val="num" w:pos="420"/>
        </w:tabs>
        <w:ind w:left="420" w:firstLine="0"/>
      </w:pPr>
      <w:rPr>
        <w:rFonts w:ascii="Symbol" w:hAnsi="Symbol" w:hint="default"/>
      </w:rPr>
    </w:lvl>
    <w:lvl w:ilvl="1" w:tplc="02164284" w:tentative="1">
      <w:start w:val="1"/>
      <w:numFmt w:val="bullet"/>
      <w:lvlText w:val=""/>
      <w:lvlJc w:val="left"/>
      <w:pPr>
        <w:tabs>
          <w:tab w:val="num" w:pos="840"/>
        </w:tabs>
        <w:ind w:left="840" w:firstLine="0"/>
      </w:pPr>
      <w:rPr>
        <w:rFonts w:ascii="Symbol" w:hAnsi="Symbol" w:hint="default"/>
      </w:rPr>
    </w:lvl>
    <w:lvl w:ilvl="2" w:tplc="1F3EE726" w:tentative="1">
      <w:start w:val="1"/>
      <w:numFmt w:val="bullet"/>
      <w:lvlText w:val=""/>
      <w:lvlJc w:val="left"/>
      <w:pPr>
        <w:tabs>
          <w:tab w:val="num" w:pos="1260"/>
        </w:tabs>
        <w:ind w:left="1260" w:firstLine="0"/>
      </w:pPr>
      <w:rPr>
        <w:rFonts w:ascii="Symbol" w:hAnsi="Symbol" w:hint="default"/>
      </w:rPr>
    </w:lvl>
    <w:lvl w:ilvl="3" w:tplc="3DA08CEC" w:tentative="1">
      <w:start w:val="1"/>
      <w:numFmt w:val="bullet"/>
      <w:lvlText w:val=""/>
      <w:lvlJc w:val="left"/>
      <w:pPr>
        <w:tabs>
          <w:tab w:val="num" w:pos="1680"/>
        </w:tabs>
        <w:ind w:left="1680" w:firstLine="0"/>
      </w:pPr>
      <w:rPr>
        <w:rFonts w:ascii="Symbol" w:hAnsi="Symbol" w:hint="default"/>
      </w:rPr>
    </w:lvl>
    <w:lvl w:ilvl="4" w:tplc="D2E8C892" w:tentative="1">
      <w:start w:val="1"/>
      <w:numFmt w:val="bullet"/>
      <w:lvlText w:val=""/>
      <w:lvlJc w:val="left"/>
      <w:pPr>
        <w:tabs>
          <w:tab w:val="num" w:pos="2100"/>
        </w:tabs>
        <w:ind w:left="2100" w:firstLine="0"/>
      </w:pPr>
      <w:rPr>
        <w:rFonts w:ascii="Symbol" w:hAnsi="Symbol" w:hint="default"/>
      </w:rPr>
    </w:lvl>
    <w:lvl w:ilvl="5" w:tplc="18B66E4C" w:tentative="1">
      <w:start w:val="1"/>
      <w:numFmt w:val="bullet"/>
      <w:lvlText w:val=""/>
      <w:lvlJc w:val="left"/>
      <w:pPr>
        <w:tabs>
          <w:tab w:val="num" w:pos="2520"/>
        </w:tabs>
        <w:ind w:left="2520" w:firstLine="0"/>
      </w:pPr>
      <w:rPr>
        <w:rFonts w:ascii="Symbol" w:hAnsi="Symbol" w:hint="default"/>
      </w:rPr>
    </w:lvl>
    <w:lvl w:ilvl="6" w:tplc="FAB82D32" w:tentative="1">
      <w:start w:val="1"/>
      <w:numFmt w:val="bullet"/>
      <w:lvlText w:val=""/>
      <w:lvlJc w:val="left"/>
      <w:pPr>
        <w:tabs>
          <w:tab w:val="num" w:pos="2940"/>
        </w:tabs>
        <w:ind w:left="2940" w:firstLine="0"/>
      </w:pPr>
      <w:rPr>
        <w:rFonts w:ascii="Symbol" w:hAnsi="Symbol" w:hint="default"/>
      </w:rPr>
    </w:lvl>
    <w:lvl w:ilvl="7" w:tplc="4608335C" w:tentative="1">
      <w:start w:val="1"/>
      <w:numFmt w:val="bullet"/>
      <w:lvlText w:val=""/>
      <w:lvlJc w:val="left"/>
      <w:pPr>
        <w:tabs>
          <w:tab w:val="num" w:pos="3360"/>
        </w:tabs>
        <w:ind w:left="3360" w:firstLine="0"/>
      </w:pPr>
      <w:rPr>
        <w:rFonts w:ascii="Symbol" w:hAnsi="Symbol" w:hint="default"/>
      </w:rPr>
    </w:lvl>
    <w:lvl w:ilvl="8" w:tplc="A94C6F16" w:tentative="1">
      <w:start w:val="1"/>
      <w:numFmt w:val="bullet"/>
      <w:lvlText w:val=""/>
      <w:lvlJc w:val="left"/>
      <w:pPr>
        <w:tabs>
          <w:tab w:val="num" w:pos="3780"/>
        </w:tabs>
        <w:ind w:left="3780" w:firstLine="0"/>
      </w:pPr>
      <w:rPr>
        <w:rFonts w:ascii="Symbol" w:hAnsi="Symbol" w:hint="default"/>
      </w:rPr>
    </w:lvl>
  </w:abstractNum>
  <w:abstractNum w:abstractNumId="4">
    <w:nsid w:val="4B2C12FF"/>
    <w:multiLevelType w:val="hybridMultilevel"/>
    <w:tmpl w:val="187A835A"/>
    <w:lvl w:ilvl="0" w:tplc="600E7EC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F610C43"/>
    <w:multiLevelType w:val="hybridMultilevel"/>
    <w:tmpl w:val="22463926"/>
    <w:lvl w:ilvl="0" w:tplc="BA282474">
      <w:start w:val="1"/>
      <w:numFmt w:val="bullet"/>
      <w:lvlText w:val="•"/>
      <w:lvlJc w:val="left"/>
      <w:pPr>
        <w:tabs>
          <w:tab w:val="num" w:pos="720"/>
        </w:tabs>
        <w:ind w:left="720" w:hanging="360"/>
      </w:pPr>
      <w:rPr>
        <w:rFonts w:ascii="宋体" w:hAnsi="宋体" w:hint="default"/>
      </w:rPr>
    </w:lvl>
    <w:lvl w:ilvl="1" w:tplc="D2A821D0" w:tentative="1">
      <w:start w:val="1"/>
      <w:numFmt w:val="bullet"/>
      <w:lvlText w:val="•"/>
      <w:lvlJc w:val="left"/>
      <w:pPr>
        <w:tabs>
          <w:tab w:val="num" w:pos="1440"/>
        </w:tabs>
        <w:ind w:left="1440" w:hanging="360"/>
      </w:pPr>
      <w:rPr>
        <w:rFonts w:ascii="宋体" w:hAnsi="宋体" w:hint="default"/>
      </w:rPr>
    </w:lvl>
    <w:lvl w:ilvl="2" w:tplc="69B81DD2" w:tentative="1">
      <w:start w:val="1"/>
      <w:numFmt w:val="bullet"/>
      <w:lvlText w:val="•"/>
      <w:lvlJc w:val="left"/>
      <w:pPr>
        <w:tabs>
          <w:tab w:val="num" w:pos="2160"/>
        </w:tabs>
        <w:ind w:left="2160" w:hanging="360"/>
      </w:pPr>
      <w:rPr>
        <w:rFonts w:ascii="宋体" w:hAnsi="宋体" w:hint="default"/>
      </w:rPr>
    </w:lvl>
    <w:lvl w:ilvl="3" w:tplc="7AB4CA50" w:tentative="1">
      <w:start w:val="1"/>
      <w:numFmt w:val="bullet"/>
      <w:lvlText w:val="•"/>
      <w:lvlJc w:val="left"/>
      <w:pPr>
        <w:tabs>
          <w:tab w:val="num" w:pos="2880"/>
        </w:tabs>
        <w:ind w:left="2880" w:hanging="360"/>
      </w:pPr>
      <w:rPr>
        <w:rFonts w:ascii="宋体" w:hAnsi="宋体" w:hint="default"/>
      </w:rPr>
    </w:lvl>
    <w:lvl w:ilvl="4" w:tplc="EF3A0D5E" w:tentative="1">
      <w:start w:val="1"/>
      <w:numFmt w:val="bullet"/>
      <w:lvlText w:val="•"/>
      <w:lvlJc w:val="left"/>
      <w:pPr>
        <w:tabs>
          <w:tab w:val="num" w:pos="3600"/>
        </w:tabs>
        <w:ind w:left="3600" w:hanging="360"/>
      </w:pPr>
      <w:rPr>
        <w:rFonts w:ascii="宋体" w:hAnsi="宋体" w:hint="default"/>
      </w:rPr>
    </w:lvl>
    <w:lvl w:ilvl="5" w:tplc="32B0F706" w:tentative="1">
      <w:start w:val="1"/>
      <w:numFmt w:val="bullet"/>
      <w:lvlText w:val="•"/>
      <w:lvlJc w:val="left"/>
      <w:pPr>
        <w:tabs>
          <w:tab w:val="num" w:pos="4320"/>
        </w:tabs>
        <w:ind w:left="4320" w:hanging="360"/>
      </w:pPr>
      <w:rPr>
        <w:rFonts w:ascii="宋体" w:hAnsi="宋体" w:hint="default"/>
      </w:rPr>
    </w:lvl>
    <w:lvl w:ilvl="6" w:tplc="5C8CBE52" w:tentative="1">
      <w:start w:val="1"/>
      <w:numFmt w:val="bullet"/>
      <w:lvlText w:val="•"/>
      <w:lvlJc w:val="left"/>
      <w:pPr>
        <w:tabs>
          <w:tab w:val="num" w:pos="5040"/>
        </w:tabs>
        <w:ind w:left="5040" w:hanging="360"/>
      </w:pPr>
      <w:rPr>
        <w:rFonts w:ascii="宋体" w:hAnsi="宋体" w:hint="default"/>
      </w:rPr>
    </w:lvl>
    <w:lvl w:ilvl="7" w:tplc="EC44874A" w:tentative="1">
      <w:start w:val="1"/>
      <w:numFmt w:val="bullet"/>
      <w:lvlText w:val="•"/>
      <w:lvlJc w:val="left"/>
      <w:pPr>
        <w:tabs>
          <w:tab w:val="num" w:pos="5760"/>
        </w:tabs>
        <w:ind w:left="5760" w:hanging="360"/>
      </w:pPr>
      <w:rPr>
        <w:rFonts w:ascii="宋体" w:hAnsi="宋体" w:hint="default"/>
      </w:rPr>
    </w:lvl>
    <w:lvl w:ilvl="8" w:tplc="810294A4" w:tentative="1">
      <w:start w:val="1"/>
      <w:numFmt w:val="bullet"/>
      <w:lvlText w:val="•"/>
      <w:lvlJc w:val="left"/>
      <w:pPr>
        <w:tabs>
          <w:tab w:val="num" w:pos="6480"/>
        </w:tabs>
        <w:ind w:left="6480" w:hanging="360"/>
      </w:pPr>
      <w:rPr>
        <w:rFonts w:ascii="宋体" w:hAnsi="宋体" w:hint="default"/>
      </w:rPr>
    </w:lvl>
  </w:abstractNum>
  <w:abstractNum w:abstractNumId="6">
    <w:nsid w:val="7A235A32"/>
    <w:multiLevelType w:val="hybridMultilevel"/>
    <w:tmpl w:val="02D89134"/>
    <w:lvl w:ilvl="0" w:tplc="1F4AC3C6">
      <w:start w:val="1"/>
      <w:numFmt w:val="bullet"/>
      <w:lvlText w:val=""/>
      <w:lvlPicBulletId w:val="0"/>
      <w:lvlJc w:val="left"/>
      <w:pPr>
        <w:tabs>
          <w:tab w:val="num" w:pos="0"/>
        </w:tabs>
        <w:ind w:left="0" w:firstLine="0"/>
      </w:pPr>
      <w:rPr>
        <w:rFonts w:ascii="Symbol" w:hAnsi="Symbol" w:hint="default"/>
      </w:rPr>
    </w:lvl>
    <w:lvl w:ilvl="1" w:tplc="FAE26D1A" w:tentative="1">
      <w:start w:val="1"/>
      <w:numFmt w:val="bullet"/>
      <w:lvlText w:val=""/>
      <w:lvlJc w:val="left"/>
      <w:pPr>
        <w:tabs>
          <w:tab w:val="num" w:pos="420"/>
        </w:tabs>
        <w:ind w:left="420" w:firstLine="0"/>
      </w:pPr>
      <w:rPr>
        <w:rFonts w:ascii="Symbol" w:hAnsi="Symbol" w:hint="default"/>
      </w:rPr>
    </w:lvl>
    <w:lvl w:ilvl="2" w:tplc="043CAC74" w:tentative="1">
      <w:start w:val="1"/>
      <w:numFmt w:val="bullet"/>
      <w:lvlText w:val=""/>
      <w:lvlJc w:val="left"/>
      <w:pPr>
        <w:tabs>
          <w:tab w:val="num" w:pos="840"/>
        </w:tabs>
        <w:ind w:left="840" w:firstLine="0"/>
      </w:pPr>
      <w:rPr>
        <w:rFonts w:ascii="Symbol" w:hAnsi="Symbol" w:hint="default"/>
      </w:rPr>
    </w:lvl>
    <w:lvl w:ilvl="3" w:tplc="5612737C" w:tentative="1">
      <w:start w:val="1"/>
      <w:numFmt w:val="bullet"/>
      <w:lvlText w:val=""/>
      <w:lvlJc w:val="left"/>
      <w:pPr>
        <w:tabs>
          <w:tab w:val="num" w:pos="1260"/>
        </w:tabs>
        <w:ind w:left="1260" w:firstLine="0"/>
      </w:pPr>
      <w:rPr>
        <w:rFonts w:ascii="Symbol" w:hAnsi="Symbol" w:hint="default"/>
      </w:rPr>
    </w:lvl>
    <w:lvl w:ilvl="4" w:tplc="DDE66B2C" w:tentative="1">
      <w:start w:val="1"/>
      <w:numFmt w:val="bullet"/>
      <w:lvlText w:val=""/>
      <w:lvlJc w:val="left"/>
      <w:pPr>
        <w:tabs>
          <w:tab w:val="num" w:pos="1680"/>
        </w:tabs>
        <w:ind w:left="1680" w:firstLine="0"/>
      </w:pPr>
      <w:rPr>
        <w:rFonts w:ascii="Symbol" w:hAnsi="Symbol" w:hint="default"/>
      </w:rPr>
    </w:lvl>
    <w:lvl w:ilvl="5" w:tplc="EF86AD92" w:tentative="1">
      <w:start w:val="1"/>
      <w:numFmt w:val="bullet"/>
      <w:lvlText w:val=""/>
      <w:lvlJc w:val="left"/>
      <w:pPr>
        <w:tabs>
          <w:tab w:val="num" w:pos="2100"/>
        </w:tabs>
        <w:ind w:left="2100" w:firstLine="0"/>
      </w:pPr>
      <w:rPr>
        <w:rFonts w:ascii="Symbol" w:hAnsi="Symbol" w:hint="default"/>
      </w:rPr>
    </w:lvl>
    <w:lvl w:ilvl="6" w:tplc="511C1774" w:tentative="1">
      <w:start w:val="1"/>
      <w:numFmt w:val="bullet"/>
      <w:lvlText w:val=""/>
      <w:lvlJc w:val="left"/>
      <w:pPr>
        <w:tabs>
          <w:tab w:val="num" w:pos="2520"/>
        </w:tabs>
        <w:ind w:left="2520" w:firstLine="0"/>
      </w:pPr>
      <w:rPr>
        <w:rFonts w:ascii="Symbol" w:hAnsi="Symbol" w:hint="default"/>
      </w:rPr>
    </w:lvl>
    <w:lvl w:ilvl="7" w:tplc="1EFC20AA" w:tentative="1">
      <w:start w:val="1"/>
      <w:numFmt w:val="bullet"/>
      <w:lvlText w:val=""/>
      <w:lvlJc w:val="left"/>
      <w:pPr>
        <w:tabs>
          <w:tab w:val="num" w:pos="2940"/>
        </w:tabs>
        <w:ind w:left="2940" w:firstLine="0"/>
      </w:pPr>
      <w:rPr>
        <w:rFonts w:ascii="Symbol" w:hAnsi="Symbol" w:hint="default"/>
      </w:rPr>
    </w:lvl>
    <w:lvl w:ilvl="8" w:tplc="7A3E101A" w:tentative="1">
      <w:start w:val="1"/>
      <w:numFmt w:val="bullet"/>
      <w:lvlText w:val=""/>
      <w:lvlJc w:val="left"/>
      <w:pPr>
        <w:tabs>
          <w:tab w:val="num" w:pos="3360"/>
        </w:tabs>
        <w:ind w:left="3360" w:firstLine="0"/>
      </w:pPr>
      <w:rPr>
        <w:rFonts w:ascii="Symbol" w:hAnsi="Symbol" w:hint="default"/>
      </w:rPr>
    </w:lvl>
  </w:abstractNum>
  <w:abstractNum w:abstractNumId="7">
    <w:nsid w:val="7C3E21F3"/>
    <w:multiLevelType w:val="hybridMultilevel"/>
    <w:tmpl w:val="294CD03E"/>
    <w:lvl w:ilvl="0" w:tplc="600E7EC0">
      <w:start w:val="1"/>
      <w:numFmt w:val="japaneseCounting"/>
      <w:lvlText w:val="%1、"/>
      <w:lvlJc w:val="left"/>
      <w:pPr>
        <w:tabs>
          <w:tab w:val="num" w:pos="1680"/>
        </w:tabs>
        <w:ind w:left="1680" w:hanging="420"/>
      </w:pPr>
      <w:rPr>
        <w:rFonts w:hint="default"/>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num w:numId="1">
    <w:abstractNumId w:val="4"/>
  </w:num>
  <w:num w:numId="2">
    <w:abstractNumId w:val="7"/>
  </w:num>
  <w:num w:numId="3">
    <w:abstractNumId w:val="3"/>
  </w:num>
  <w:num w:numId="4">
    <w:abstractNumId w:val="2"/>
  </w:num>
  <w:num w:numId="5">
    <w:abstractNumId w:val="6"/>
  </w:num>
  <w:num w:numId="6">
    <w:abstractNumId w:val="5"/>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stylePaneFormatFilter w:val="3F01"/>
  <w:defaultTabStop w:val="420"/>
  <w:drawingGridHorizontalSpacing w:val="100"/>
  <w:drawingGridVerticalSpacing w:val="174"/>
  <w:displayHorizontalDrawingGridEvery w:val="0"/>
  <w:displayVerticalDrawingGridEvery w:val="2"/>
  <w:characterSpacingControl w:val="compressPunctuation"/>
  <w:hdrShapeDefaults>
    <o:shapedefaults v:ext="edit" spidmax="5122" fillcolor="white">
      <v:fill color="white"/>
      <o:colormru v:ext="edit" colors="#0a71a8,#d7e3ee,#a7c0f1"/>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2927"/>
    <w:rsid w:val="000066D7"/>
    <w:rsid w:val="00006852"/>
    <w:rsid w:val="000069E5"/>
    <w:rsid w:val="00006F1B"/>
    <w:rsid w:val="00011A91"/>
    <w:rsid w:val="00012E0A"/>
    <w:rsid w:val="00013434"/>
    <w:rsid w:val="00013CE7"/>
    <w:rsid w:val="0001761B"/>
    <w:rsid w:val="00017D30"/>
    <w:rsid w:val="00017EE5"/>
    <w:rsid w:val="0002001D"/>
    <w:rsid w:val="00020795"/>
    <w:rsid w:val="00020FB0"/>
    <w:rsid w:val="00025FA4"/>
    <w:rsid w:val="0002635A"/>
    <w:rsid w:val="000273F6"/>
    <w:rsid w:val="00027DEC"/>
    <w:rsid w:val="00032F52"/>
    <w:rsid w:val="00040513"/>
    <w:rsid w:val="00041556"/>
    <w:rsid w:val="000420A7"/>
    <w:rsid w:val="00042D68"/>
    <w:rsid w:val="00043C83"/>
    <w:rsid w:val="000445BB"/>
    <w:rsid w:val="00044B79"/>
    <w:rsid w:val="00052737"/>
    <w:rsid w:val="0006219E"/>
    <w:rsid w:val="000627C3"/>
    <w:rsid w:val="00062C2D"/>
    <w:rsid w:val="000638B5"/>
    <w:rsid w:val="00063F6B"/>
    <w:rsid w:val="00073321"/>
    <w:rsid w:val="00075494"/>
    <w:rsid w:val="00077273"/>
    <w:rsid w:val="00085573"/>
    <w:rsid w:val="00085C8B"/>
    <w:rsid w:val="00090ADA"/>
    <w:rsid w:val="0009244F"/>
    <w:rsid w:val="00094814"/>
    <w:rsid w:val="00095893"/>
    <w:rsid w:val="000A3A30"/>
    <w:rsid w:val="000B0158"/>
    <w:rsid w:val="000B14DF"/>
    <w:rsid w:val="000B23DD"/>
    <w:rsid w:val="000C11E3"/>
    <w:rsid w:val="000C3D37"/>
    <w:rsid w:val="000C49CD"/>
    <w:rsid w:val="000D0DC3"/>
    <w:rsid w:val="000D59A4"/>
    <w:rsid w:val="000D7898"/>
    <w:rsid w:val="000E14B3"/>
    <w:rsid w:val="000E55E1"/>
    <w:rsid w:val="000E6E1D"/>
    <w:rsid w:val="000E7E4E"/>
    <w:rsid w:val="000F088F"/>
    <w:rsid w:val="0010138E"/>
    <w:rsid w:val="00107A83"/>
    <w:rsid w:val="0011106F"/>
    <w:rsid w:val="00112FE2"/>
    <w:rsid w:val="001139DD"/>
    <w:rsid w:val="00116FF5"/>
    <w:rsid w:val="001171EB"/>
    <w:rsid w:val="0011733D"/>
    <w:rsid w:val="0012291C"/>
    <w:rsid w:val="0012356E"/>
    <w:rsid w:val="001247A3"/>
    <w:rsid w:val="00125944"/>
    <w:rsid w:val="00125A7F"/>
    <w:rsid w:val="00142927"/>
    <w:rsid w:val="00144B14"/>
    <w:rsid w:val="001514D8"/>
    <w:rsid w:val="00151BF1"/>
    <w:rsid w:val="001568DB"/>
    <w:rsid w:val="00161683"/>
    <w:rsid w:val="00170A98"/>
    <w:rsid w:val="0017361A"/>
    <w:rsid w:val="00175B3E"/>
    <w:rsid w:val="00195A5D"/>
    <w:rsid w:val="001A414C"/>
    <w:rsid w:val="001A4776"/>
    <w:rsid w:val="001A7A16"/>
    <w:rsid w:val="001B2EE0"/>
    <w:rsid w:val="001C23E6"/>
    <w:rsid w:val="001E3293"/>
    <w:rsid w:val="001E3DD3"/>
    <w:rsid w:val="001F0830"/>
    <w:rsid w:val="001F159B"/>
    <w:rsid w:val="001F65C8"/>
    <w:rsid w:val="001F6A17"/>
    <w:rsid w:val="001F7158"/>
    <w:rsid w:val="002005DE"/>
    <w:rsid w:val="00203866"/>
    <w:rsid w:val="00204AD8"/>
    <w:rsid w:val="00205A21"/>
    <w:rsid w:val="002100D3"/>
    <w:rsid w:val="00212B50"/>
    <w:rsid w:val="00225B09"/>
    <w:rsid w:val="00226A7D"/>
    <w:rsid w:val="00230ED2"/>
    <w:rsid w:val="002316BC"/>
    <w:rsid w:val="0023225C"/>
    <w:rsid w:val="002325F8"/>
    <w:rsid w:val="00232E18"/>
    <w:rsid w:val="00234671"/>
    <w:rsid w:val="00234DF9"/>
    <w:rsid w:val="0023715B"/>
    <w:rsid w:val="002410C2"/>
    <w:rsid w:val="0024246C"/>
    <w:rsid w:val="00242840"/>
    <w:rsid w:val="00247485"/>
    <w:rsid w:val="002476B8"/>
    <w:rsid w:val="00250B2E"/>
    <w:rsid w:val="00250C7B"/>
    <w:rsid w:val="00260C38"/>
    <w:rsid w:val="00261DE5"/>
    <w:rsid w:val="00266B41"/>
    <w:rsid w:val="00267B9A"/>
    <w:rsid w:val="00270034"/>
    <w:rsid w:val="002727BE"/>
    <w:rsid w:val="00275A27"/>
    <w:rsid w:val="002772E5"/>
    <w:rsid w:val="00281094"/>
    <w:rsid w:val="00281ABD"/>
    <w:rsid w:val="00281FFF"/>
    <w:rsid w:val="0028212D"/>
    <w:rsid w:val="0028312C"/>
    <w:rsid w:val="00283273"/>
    <w:rsid w:val="002834B2"/>
    <w:rsid w:val="00284D10"/>
    <w:rsid w:val="00285948"/>
    <w:rsid w:val="0028700B"/>
    <w:rsid w:val="002948A5"/>
    <w:rsid w:val="00295A0B"/>
    <w:rsid w:val="00296038"/>
    <w:rsid w:val="00296471"/>
    <w:rsid w:val="002A04C4"/>
    <w:rsid w:val="002A255D"/>
    <w:rsid w:val="002A5E32"/>
    <w:rsid w:val="002B6247"/>
    <w:rsid w:val="002C190B"/>
    <w:rsid w:val="002C7DE2"/>
    <w:rsid w:val="002D195B"/>
    <w:rsid w:val="002D19AC"/>
    <w:rsid w:val="002D4382"/>
    <w:rsid w:val="002D57DC"/>
    <w:rsid w:val="002E28DD"/>
    <w:rsid w:val="002E3B36"/>
    <w:rsid w:val="002F0A58"/>
    <w:rsid w:val="002F4110"/>
    <w:rsid w:val="002F4F12"/>
    <w:rsid w:val="002F6FAC"/>
    <w:rsid w:val="00300C6F"/>
    <w:rsid w:val="00304986"/>
    <w:rsid w:val="003108A9"/>
    <w:rsid w:val="0031123A"/>
    <w:rsid w:val="00314325"/>
    <w:rsid w:val="003154CF"/>
    <w:rsid w:val="00320CC1"/>
    <w:rsid w:val="0032197F"/>
    <w:rsid w:val="00322D72"/>
    <w:rsid w:val="0033388A"/>
    <w:rsid w:val="00335D71"/>
    <w:rsid w:val="0034405B"/>
    <w:rsid w:val="00345740"/>
    <w:rsid w:val="0034699C"/>
    <w:rsid w:val="00346FE0"/>
    <w:rsid w:val="00351D46"/>
    <w:rsid w:val="00356B21"/>
    <w:rsid w:val="00357719"/>
    <w:rsid w:val="00357773"/>
    <w:rsid w:val="00360327"/>
    <w:rsid w:val="00372619"/>
    <w:rsid w:val="003732A0"/>
    <w:rsid w:val="003760A1"/>
    <w:rsid w:val="00376F81"/>
    <w:rsid w:val="00380584"/>
    <w:rsid w:val="00385B9F"/>
    <w:rsid w:val="00387AE8"/>
    <w:rsid w:val="00387D76"/>
    <w:rsid w:val="00387FF3"/>
    <w:rsid w:val="003938F5"/>
    <w:rsid w:val="003939E5"/>
    <w:rsid w:val="003A1AA4"/>
    <w:rsid w:val="003A25BD"/>
    <w:rsid w:val="003A3CA7"/>
    <w:rsid w:val="003B04B0"/>
    <w:rsid w:val="003B1C3F"/>
    <w:rsid w:val="003B4236"/>
    <w:rsid w:val="003B5487"/>
    <w:rsid w:val="003B5D37"/>
    <w:rsid w:val="003B7112"/>
    <w:rsid w:val="003C1AA7"/>
    <w:rsid w:val="003C2D61"/>
    <w:rsid w:val="003C7168"/>
    <w:rsid w:val="003D27B5"/>
    <w:rsid w:val="003D456F"/>
    <w:rsid w:val="003D59DB"/>
    <w:rsid w:val="003D5C8C"/>
    <w:rsid w:val="003D6958"/>
    <w:rsid w:val="003E1848"/>
    <w:rsid w:val="003E1FDA"/>
    <w:rsid w:val="003E33A0"/>
    <w:rsid w:val="003E3E45"/>
    <w:rsid w:val="003E6128"/>
    <w:rsid w:val="003E6ED8"/>
    <w:rsid w:val="003E7754"/>
    <w:rsid w:val="003F79E3"/>
    <w:rsid w:val="00400E7D"/>
    <w:rsid w:val="004027F8"/>
    <w:rsid w:val="00402B92"/>
    <w:rsid w:val="00403013"/>
    <w:rsid w:val="00403CC4"/>
    <w:rsid w:val="004050A6"/>
    <w:rsid w:val="00410946"/>
    <w:rsid w:val="00410B06"/>
    <w:rsid w:val="0041240D"/>
    <w:rsid w:val="00414258"/>
    <w:rsid w:val="00415AA9"/>
    <w:rsid w:val="00423077"/>
    <w:rsid w:val="004247B4"/>
    <w:rsid w:val="00424DAB"/>
    <w:rsid w:val="00425B53"/>
    <w:rsid w:val="00426F00"/>
    <w:rsid w:val="00437245"/>
    <w:rsid w:val="004434DA"/>
    <w:rsid w:val="00445430"/>
    <w:rsid w:val="00446587"/>
    <w:rsid w:val="0044751A"/>
    <w:rsid w:val="00453624"/>
    <w:rsid w:val="004537A7"/>
    <w:rsid w:val="00454498"/>
    <w:rsid w:val="00454CD3"/>
    <w:rsid w:val="0045644A"/>
    <w:rsid w:val="00463F2B"/>
    <w:rsid w:val="00464FE5"/>
    <w:rsid w:val="00467CB8"/>
    <w:rsid w:val="004820D5"/>
    <w:rsid w:val="0048381E"/>
    <w:rsid w:val="00484E62"/>
    <w:rsid w:val="00486121"/>
    <w:rsid w:val="004879E6"/>
    <w:rsid w:val="00490571"/>
    <w:rsid w:val="00492FD0"/>
    <w:rsid w:val="00494590"/>
    <w:rsid w:val="00495EB9"/>
    <w:rsid w:val="004A48C6"/>
    <w:rsid w:val="004B0AB3"/>
    <w:rsid w:val="004B1DCF"/>
    <w:rsid w:val="004B32FB"/>
    <w:rsid w:val="004B3C57"/>
    <w:rsid w:val="004B4537"/>
    <w:rsid w:val="004B5B7A"/>
    <w:rsid w:val="004B702E"/>
    <w:rsid w:val="004C634F"/>
    <w:rsid w:val="004C6C2B"/>
    <w:rsid w:val="004D231B"/>
    <w:rsid w:val="004E3951"/>
    <w:rsid w:val="004E7F3B"/>
    <w:rsid w:val="004F0C98"/>
    <w:rsid w:val="004F12D5"/>
    <w:rsid w:val="004F26DF"/>
    <w:rsid w:val="004F30D4"/>
    <w:rsid w:val="004F7BFC"/>
    <w:rsid w:val="00502FD7"/>
    <w:rsid w:val="00504674"/>
    <w:rsid w:val="00506185"/>
    <w:rsid w:val="00506A54"/>
    <w:rsid w:val="0051207E"/>
    <w:rsid w:val="00513285"/>
    <w:rsid w:val="00517A89"/>
    <w:rsid w:val="00517B7B"/>
    <w:rsid w:val="005209FA"/>
    <w:rsid w:val="00522CD6"/>
    <w:rsid w:val="00526F9D"/>
    <w:rsid w:val="00534159"/>
    <w:rsid w:val="005378EB"/>
    <w:rsid w:val="00540B0D"/>
    <w:rsid w:val="00541A1B"/>
    <w:rsid w:val="00543822"/>
    <w:rsid w:val="00547AE1"/>
    <w:rsid w:val="00554355"/>
    <w:rsid w:val="00555CF9"/>
    <w:rsid w:val="00555F0D"/>
    <w:rsid w:val="00557B2D"/>
    <w:rsid w:val="00557E82"/>
    <w:rsid w:val="00562438"/>
    <w:rsid w:val="005629BD"/>
    <w:rsid w:val="005635EB"/>
    <w:rsid w:val="00567AAA"/>
    <w:rsid w:val="00567B25"/>
    <w:rsid w:val="0057055C"/>
    <w:rsid w:val="00575A53"/>
    <w:rsid w:val="00580D34"/>
    <w:rsid w:val="005821E3"/>
    <w:rsid w:val="00583A8C"/>
    <w:rsid w:val="00585FD0"/>
    <w:rsid w:val="005861AC"/>
    <w:rsid w:val="00586C1A"/>
    <w:rsid w:val="0059000A"/>
    <w:rsid w:val="0059147C"/>
    <w:rsid w:val="00597982"/>
    <w:rsid w:val="005A6DBF"/>
    <w:rsid w:val="005B368E"/>
    <w:rsid w:val="005B5A06"/>
    <w:rsid w:val="005B65B2"/>
    <w:rsid w:val="005B665C"/>
    <w:rsid w:val="005B7ACC"/>
    <w:rsid w:val="005C1AC8"/>
    <w:rsid w:val="005C1C63"/>
    <w:rsid w:val="005C2BD3"/>
    <w:rsid w:val="005D5814"/>
    <w:rsid w:val="005D6AFB"/>
    <w:rsid w:val="005D72F3"/>
    <w:rsid w:val="005E2AF5"/>
    <w:rsid w:val="005E3718"/>
    <w:rsid w:val="005E69A6"/>
    <w:rsid w:val="005E7B2C"/>
    <w:rsid w:val="006004BF"/>
    <w:rsid w:val="0060200D"/>
    <w:rsid w:val="0060737B"/>
    <w:rsid w:val="006112FA"/>
    <w:rsid w:val="00617B86"/>
    <w:rsid w:val="00620443"/>
    <w:rsid w:val="006304DF"/>
    <w:rsid w:val="00630A5D"/>
    <w:rsid w:val="00637729"/>
    <w:rsid w:val="00640933"/>
    <w:rsid w:val="00640E7F"/>
    <w:rsid w:val="00640EBB"/>
    <w:rsid w:val="00641E3B"/>
    <w:rsid w:val="00641F04"/>
    <w:rsid w:val="006438ED"/>
    <w:rsid w:val="00643FD2"/>
    <w:rsid w:val="00645A28"/>
    <w:rsid w:val="00647167"/>
    <w:rsid w:val="00651A9F"/>
    <w:rsid w:val="00651BA1"/>
    <w:rsid w:val="006534FE"/>
    <w:rsid w:val="00654348"/>
    <w:rsid w:val="006606DF"/>
    <w:rsid w:val="00662219"/>
    <w:rsid w:val="0067028E"/>
    <w:rsid w:val="0067101F"/>
    <w:rsid w:val="006710A7"/>
    <w:rsid w:val="00676530"/>
    <w:rsid w:val="006768EA"/>
    <w:rsid w:val="006775D0"/>
    <w:rsid w:val="00687514"/>
    <w:rsid w:val="00691130"/>
    <w:rsid w:val="00697599"/>
    <w:rsid w:val="00697827"/>
    <w:rsid w:val="006A00B7"/>
    <w:rsid w:val="006A1ACE"/>
    <w:rsid w:val="006A5F86"/>
    <w:rsid w:val="006A724C"/>
    <w:rsid w:val="006B1B91"/>
    <w:rsid w:val="006B464C"/>
    <w:rsid w:val="006B7C53"/>
    <w:rsid w:val="006C44D4"/>
    <w:rsid w:val="006D470C"/>
    <w:rsid w:val="006D6A4C"/>
    <w:rsid w:val="006E20E1"/>
    <w:rsid w:val="006E42FA"/>
    <w:rsid w:val="006E5727"/>
    <w:rsid w:val="006E6607"/>
    <w:rsid w:val="006E6C6F"/>
    <w:rsid w:val="006E7236"/>
    <w:rsid w:val="006F01B1"/>
    <w:rsid w:val="006F0BD6"/>
    <w:rsid w:val="006F3D5F"/>
    <w:rsid w:val="006F4BE4"/>
    <w:rsid w:val="006F5E8C"/>
    <w:rsid w:val="00716B54"/>
    <w:rsid w:val="007174A7"/>
    <w:rsid w:val="007179B3"/>
    <w:rsid w:val="00717E8E"/>
    <w:rsid w:val="0072043D"/>
    <w:rsid w:val="00720F36"/>
    <w:rsid w:val="007222F1"/>
    <w:rsid w:val="00724586"/>
    <w:rsid w:val="0072496C"/>
    <w:rsid w:val="00735294"/>
    <w:rsid w:val="0074444E"/>
    <w:rsid w:val="00746528"/>
    <w:rsid w:val="00746DE9"/>
    <w:rsid w:val="00751F47"/>
    <w:rsid w:val="00753B8C"/>
    <w:rsid w:val="007554F6"/>
    <w:rsid w:val="00755FBD"/>
    <w:rsid w:val="00762D8A"/>
    <w:rsid w:val="00762DE1"/>
    <w:rsid w:val="007724EA"/>
    <w:rsid w:val="00773EF8"/>
    <w:rsid w:val="00776DB5"/>
    <w:rsid w:val="00777889"/>
    <w:rsid w:val="007837E6"/>
    <w:rsid w:val="00790CA6"/>
    <w:rsid w:val="007923FA"/>
    <w:rsid w:val="007942D3"/>
    <w:rsid w:val="007A19F8"/>
    <w:rsid w:val="007A3922"/>
    <w:rsid w:val="007A5022"/>
    <w:rsid w:val="007A61DE"/>
    <w:rsid w:val="007B07BA"/>
    <w:rsid w:val="007B1A41"/>
    <w:rsid w:val="007C2937"/>
    <w:rsid w:val="007C5D70"/>
    <w:rsid w:val="007C6B24"/>
    <w:rsid w:val="007D01CF"/>
    <w:rsid w:val="007D059C"/>
    <w:rsid w:val="007D3B97"/>
    <w:rsid w:val="007D4F59"/>
    <w:rsid w:val="007E168D"/>
    <w:rsid w:val="007E5D6D"/>
    <w:rsid w:val="007E63C8"/>
    <w:rsid w:val="007E7F26"/>
    <w:rsid w:val="007F1B83"/>
    <w:rsid w:val="007F2925"/>
    <w:rsid w:val="007F3BBB"/>
    <w:rsid w:val="007F3FF7"/>
    <w:rsid w:val="008004AD"/>
    <w:rsid w:val="00801329"/>
    <w:rsid w:val="008036A3"/>
    <w:rsid w:val="008042D5"/>
    <w:rsid w:val="008056FA"/>
    <w:rsid w:val="00816D24"/>
    <w:rsid w:val="00822D0D"/>
    <w:rsid w:val="00823F1B"/>
    <w:rsid w:val="00826F70"/>
    <w:rsid w:val="008325CA"/>
    <w:rsid w:val="0083328E"/>
    <w:rsid w:val="00840BEE"/>
    <w:rsid w:val="00844F84"/>
    <w:rsid w:val="00845899"/>
    <w:rsid w:val="00850793"/>
    <w:rsid w:val="008539AC"/>
    <w:rsid w:val="008577E8"/>
    <w:rsid w:val="00865F7F"/>
    <w:rsid w:val="00875649"/>
    <w:rsid w:val="008761C7"/>
    <w:rsid w:val="00885F92"/>
    <w:rsid w:val="0088660D"/>
    <w:rsid w:val="008909E3"/>
    <w:rsid w:val="00893582"/>
    <w:rsid w:val="0089483E"/>
    <w:rsid w:val="008A0FE2"/>
    <w:rsid w:val="008A59BB"/>
    <w:rsid w:val="008A7218"/>
    <w:rsid w:val="008B221E"/>
    <w:rsid w:val="008B45A3"/>
    <w:rsid w:val="008B7351"/>
    <w:rsid w:val="008B79C1"/>
    <w:rsid w:val="008C1916"/>
    <w:rsid w:val="008C6489"/>
    <w:rsid w:val="008D4BBC"/>
    <w:rsid w:val="008D7EBD"/>
    <w:rsid w:val="008E20C2"/>
    <w:rsid w:val="008E4B2A"/>
    <w:rsid w:val="008F1DC5"/>
    <w:rsid w:val="008F339B"/>
    <w:rsid w:val="008F5252"/>
    <w:rsid w:val="008F5B6A"/>
    <w:rsid w:val="00901E03"/>
    <w:rsid w:val="00904965"/>
    <w:rsid w:val="00904D10"/>
    <w:rsid w:val="00904F20"/>
    <w:rsid w:val="009077EB"/>
    <w:rsid w:val="009120D4"/>
    <w:rsid w:val="00914540"/>
    <w:rsid w:val="009168CF"/>
    <w:rsid w:val="00916C23"/>
    <w:rsid w:val="009179E2"/>
    <w:rsid w:val="0092133E"/>
    <w:rsid w:val="00925609"/>
    <w:rsid w:val="0092564F"/>
    <w:rsid w:val="00925FA6"/>
    <w:rsid w:val="00930101"/>
    <w:rsid w:val="00930290"/>
    <w:rsid w:val="009370DA"/>
    <w:rsid w:val="00941259"/>
    <w:rsid w:val="00942D35"/>
    <w:rsid w:val="009479AD"/>
    <w:rsid w:val="00951FD9"/>
    <w:rsid w:val="00955295"/>
    <w:rsid w:val="00956C84"/>
    <w:rsid w:val="00960A51"/>
    <w:rsid w:val="00962B30"/>
    <w:rsid w:val="00963F02"/>
    <w:rsid w:val="0097062B"/>
    <w:rsid w:val="00972370"/>
    <w:rsid w:val="00976880"/>
    <w:rsid w:val="0097751E"/>
    <w:rsid w:val="00977BA2"/>
    <w:rsid w:val="00982857"/>
    <w:rsid w:val="009829C3"/>
    <w:rsid w:val="0098346D"/>
    <w:rsid w:val="009834EC"/>
    <w:rsid w:val="009A0DC9"/>
    <w:rsid w:val="009A5DCC"/>
    <w:rsid w:val="009A6327"/>
    <w:rsid w:val="009A7EB1"/>
    <w:rsid w:val="009B02EC"/>
    <w:rsid w:val="009B17E3"/>
    <w:rsid w:val="009B75C6"/>
    <w:rsid w:val="009B7FED"/>
    <w:rsid w:val="009C65E0"/>
    <w:rsid w:val="009D162A"/>
    <w:rsid w:val="009D3648"/>
    <w:rsid w:val="009D67E6"/>
    <w:rsid w:val="009D7F3A"/>
    <w:rsid w:val="009E16E5"/>
    <w:rsid w:val="009E30E8"/>
    <w:rsid w:val="009E7838"/>
    <w:rsid w:val="009F2DE5"/>
    <w:rsid w:val="009F4E7F"/>
    <w:rsid w:val="00A00187"/>
    <w:rsid w:val="00A00556"/>
    <w:rsid w:val="00A01941"/>
    <w:rsid w:val="00A0459C"/>
    <w:rsid w:val="00A06544"/>
    <w:rsid w:val="00A07544"/>
    <w:rsid w:val="00A0773F"/>
    <w:rsid w:val="00A14ACD"/>
    <w:rsid w:val="00A20AD7"/>
    <w:rsid w:val="00A20B25"/>
    <w:rsid w:val="00A23F71"/>
    <w:rsid w:val="00A3065C"/>
    <w:rsid w:val="00A3182F"/>
    <w:rsid w:val="00A32881"/>
    <w:rsid w:val="00A331BA"/>
    <w:rsid w:val="00A34228"/>
    <w:rsid w:val="00A347B3"/>
    <w:rsid w:val="00A36028"/>
    <w:rsid w:val="00A408AC"/>
    <w:rsid w:val="00A42118"/>
    <w:rsid w:val="00A46308"/>
    <w:rsid w:val="00A46D0E"/>
    <w:rsid w:val="00A5172C"/>
    <w:rsid w:val="00A52312"/>
    <w:rsid w:val="00A52FF0"/>
    <w:rsid w:val="00A5652D"/>
    <w:rsid w:val="00A613AC"/>
    <w:rsid w:val="00A621B7"/>
    <w:rsid w:val="00A64BB2"/>
    <w:rsid w:val="00A75013"/>
    <w:rsid w:val="00A76699"/>
    <w:rsid w:val="00A771E8"/>
    <w:rsid w:val="00A77990"/>
    <w:rsid w:val="00A8437A"/>
    <w:rsid w:val="00A8765F"/>
    <w:rsid w:val="00A916E2"/>
    <w:rsid w:val="00A93B68"/>
    <w:rsid w:val="00A94305"/>
    <w:rsid w:val="00A950ED"/>
    <w:rsid w:val="00A97DAC"/>
    <w:rsid w:val="00AA01CE"/>
    <w:rsid w:val="00AB1DE3"/>
    <w:rsid w:val="00AB27BC"/>
    <w:rsid w:val="00AB3232"/>
    <w:rsid w:val="00AB448F"/>
    <w:rsid w:val="00AB4D56"/>
    <w:rsid w:val="00AC025C"/>
    <w:rsid w:val="00AC2190"/>
    <w:rsid w:val="00AD0B5C"/>
    <w:rsid w:val="00AD309B"/>
    <w:rsid w:val="00AE5B42"/>
    <w:rsid w:val="00AF1589"/>
    <w:rsid w:val="00AF3B21"/>
    <w:rsid w:val="00AF7BEB"/>
    <w:rsid w:val="00B02D0F"/>
    <w:rsid w:val="00B0715A"/>
    <w:rsid w:val="00B10348"/>
    <w:rsid w:val="00B114A1"/>
    <w:rsid w:val="00B1517C"/>
    <w:rsid w:val="00B1690A"/>
    <w:rsid w:val="00B16D1E"/>
    <w:rsid w:val="00B234B7"/>
    <w:rsid w:val="00B242D8"/>
    <w:rsid w:val="00B264CE"/>
    <w:rsid w:val="00B30872"/>
    <w:rsid w:val="00B32C31"/>
    <w:rsid w:val="00B3567F"/>
    <w:rsid w:val="00B46916"/>
    <w:rsid w:val="00B502B4"/>
    <w:rsid w:val="00B50571"/>
    <w:rsid w:val="00B50C6C"/>
    <w:rsid w:val="00B515AD"/>
    <w:rsid w:val="00B52638"/>
    <w:rsid w:val="00B52E9F"/>
    <w:rsid w:val="00B54D5C"/>
    <w:rsid w:val="00B66957"/>
    <w:rsid w:val="00B66A9D"/>
    <w:rsid w:val="00B67A02"/>
    <w:rsid w:val="00B74D2D"/>
    <w:rsid w:val="00B77C3D"/>
    <w:rsid w:val="00B81BE5"/>
    <w:rsid w:val="00B8383C"/>
    <w:rsid w:val="00B83CEC"/>
    <w:rsid w:val="00B86C49"/>
    <w:rsid w:val="00B937DC"/>
    <w:rsid w:val="00B95CB0"/>
    <w:rsid w:val="00B974D9"/>
    <w:rsid w:val="00B97D9C"/>
    <w:rsid w:val="00BA2D4C"/>
    <w:rsid w:val="00BA7C58"/>
    <w:rsid w:val="00BB42A4"/>
    <w:rsid w:val="00BB7A60"/>
    <w:rsid w:val="00BC5441"/>
    <w:rsid w:val="00BC6DCB"/>
    <w:rsid w:val="00BD05AB"/>
    <w:rsid w:val="00BD376B"/>
    <w:rsid w:val="00BE1515"/>
    <w:rsid w:val="00BE38A8"/>
    <w:rsid w:val="00BE5903"/>
    <w:rsid w:val="00BE74DE"/>
    <w:rsid w:val="00BE7D52"/>
    <w:rsid w:val="00BE7E79"/>
    <w:rsid w:val="00BF2B6C"/>
    <w:rsid w:val="00BF330A"/>
    <w:rsid w:val="00BF3AE6"/>
    <w:rsid w:val="00BF5BE6"/>
    <w:rsid w:val="00BF6A4C"/>
    <w:rsid w:val="00C02D1F"/>
    <w:rsid w:val="00C05736"/>
    <w:rsid w:val="00C07F7A"/>
    <w:rsid w:val="00C2414B"/>
    <w:rsid w:val="00C24F61"/>
    <w:rsid w:val="00C30DC3"/>
    <w:rsid w:val="00C31661"/>
    <w:rsid w:val="00C31D26"/>
    <w:rsid w:val="00C35AE5"/>
    <w:rsid w:val="00C45E3D"/>
    <w:rsid w:val="00C47CA6"/>
    <w:rsid w:val="00C50935"/>
    <w:rsid w:val="00C50C10"/>
    <w:rsid w:val="00C5156A"/>
    <w:rsid w:val="00C644B6"/>
    <w:rsid w:val="00C67B03"/>
    <w:rsid w:val="00C67CD3"/>
    <w:rsid w:val="00C70834"/>
    <w:rsid w:val="00C70B19"/>
    <w:rsid w:val="00C72FD2"/>
    <w:rsid w:val="00C73773"/>
    <w:rsid w:val="00C7395B"/>
    <w:rsid w:val="00C7465B"/>
    <w:rsid w:val="00C773CD"/>
    <w:rsid w:val="00C80869"/>
    <w:rsid w:val="00C8616C"/>
    <w:rsid w:val="00C906C4"/>
    <w:rsid w:val="00C92D77"/>
    <w:rsid w:val="00C9655B"/>
    <w:rsid w:val="00CA232A"/>
    <w:rsid w:val="00CA27CC"/>
    <w:rsid w:val="00CA3261"/>
    <w:rsid w:val="00CB46CE"/>
    <w:rsid w:val="00CB4947"/>
    <w:rsid w:val="00CB66AC"/>
    <w:rsid w:val="00CC36B3"/>
    <w:rsid w:val="00CC4DD4"/>
    <w:rsid w:val="00CC70DD"/>
    <w:rsid w:val="00CD015C"/>
    <w:rsid w:val="00CD1E27"/>
    <w:rsid w:val="00CD5863"/>
    <w:rsid w:val="00CD60A5"/>
    <w:rsid w:val="00CD715E"/>
    <w:rsid w:val="00CE3100"/>
    <w:rsid w:val="00CF39A6"/>
    <w:rsid w:val="00CF742F"/>
    <w:rsid w:val="00D13A3E"/>
    <w:rsid w:val="00D16A68"/>
    <w:rsid w:val="00D37E2F"/>
    <w:rsid w:val="00D44294"/>
    <w:rsid w:val="00D51CE7"/>
    <w:rsid w:val="00D51EFF"/>
    <w:rsid w:val="00D53923"/>
    <w:rsid w:val="00D57176"/>
    <w:rsid w:val="00D64CA6"/>
    <w:rsid w:val="00D703CC"/>
    <w:rsid w:val="00D70530"/>
    <w:rsid w:val="00D71C57"/>
    <w:rsid w:val="00D77DAD"/>
    <w:rsid w:val="00D802EE"/>
    <w:rsid w:val="00D80EC2"/>
    <w:rsid w:val="00D8381E"/>
    <w:rsid w:val="00D8420F"/>
    <w:rsid w:val="00D843F2"/>
    <w:rsid w:val="00D84EAF"/>
    <w:rsid w:val="00D9099D"/>
    <w:rsid w:val="00D91309"/>
    <w:rsid w:val="00D92C5B"/>
    <w:rsid w:val="00D93BC6"/>
    <w:rsid w:val="00D94913"/>
    <w:rsid w:val="00D96E2C"/>
    <w:rsid w:val="00D973FE"/>
    <w:rsid w:val="00DA06E3"/>
    <w:rsid w:val="00DA08C3"/>
    <w:rsid w:val="00DA0D20"/>
    <w:rsid w:val="00DA12C5"/>
    <w:rsid w:val="00DA1572"/>
    <w:rsid w:val="00DA1F24"/>
    <w:rsid w:val="00DA32FD"/>
    <w:rsid w:val="00DA6A0F"/>
    <w:rsid w:val="00DB00CE"/>
    <w:rsid w:val="00DB11DA"/>
    <w:rsid w:val="00DC140F"/>
    <w:rsid w:val="00DC14A5"/>
    <w:rsid w:val="00DC2F42"/>
    <w:rsid w:val="00DC3F07"/>
    <w:rsid w:val="00DC4843"/>
    <w:rsid w:val="00DC59DE"/>
    <w:rsid w:val="00DE0F6B"/>
    <w:rsid w:val="00DE53FA"/>
    <w:rsid w:val="00DE6A85"/>
    <w:rsid w:val="00DE6CD2"/>
    <w:rsid w:val="00DE7EBC"/>
    <w:rsid w:val="00DF0C8B"/>
    <w:rsid w:val="00DF0DB0"/>
    <w:rsid w:val="00DF45F6"/>
    <w:rsid w:val="00DF7C8E"/>
    <w:rsid w:val="00E002F1"/>
    <w:rsid w:val="00E009AF"/>
    <w:rsid w:val="00E04AEB"/>
    <w:rsid w:val="00E055CD"/>
    <w:rsid w:val="00E078EE"/>
    <w:rsid w:val="00E07CB7"/>
    <w:rsid w:val="00E147BC"/>
    <w:rsid w:val="00E14A5F"/>
    <w:rsid w:val="00E14D21"/>
    <w:rsid w:val="00E203B2"/>
    <w:rsid w:val="00E245FA"/>
    <w:rsid w:val="00E325A8"/>
    <w:rsid w:val="00E35411"/>
    <w:rsid w:val="00E367F5"/>
    <w:rsid w:val="00E400FF"/>
    <w:rsid w:val="00E430E3"/>
    <w:rsid w:val="00E44D2A"/>
    <w:rsid w:val="00E468A3"/>
    <w:rsid w:val="00E478A9"/>
    <w:rsid w:val="00E532B2"/>
    <w:rsid w:val="00E532E5"/>
    <w:rsid w:val="00E544B5"/>
    <w:rsid w:val="00E56739"/>
    <w:rsid w:val="00E570FA"/>
    <w:rsid w:val="00E62F64"/>
    <w:rsid w:val="00E631C3"/>
    <w:rsid w:val="00E66FCF"/>
    <w:rsid w:val="00E67605"/>
    <w:rsid w:val="00E70B9B"/>
    <w:rsid w:val="00E724FA"/>
    <w:rsid w:val="00E7684A"/>
    <w:rsid w:val="00E8016E"/>
    <w:rsid w:val="00E93C4C"/>
    <w:rsid w:val="00E943EF"/>
    <w:rsid w:val="00E94FA4"/>
    <w:rsid w:val="00E958BC"/>
    <w:rsid w:val="00EA1260"/>
    <w:rsid w:val="00EA3A9F"/>
    <w:rsid w:val="00EA43BC"/>
    <w:rsid w:val="00EA61EF"/>
    <w:rsid w:val="00EA67F9"/>
    <w:rsid w:val="00EB1A06"/>
    <w:rsid w:val="00EB3580"/>
    <w:rsid w:val="00EB3FE4"/>
    <w:rsid w:val="00EB4871"/>
    <w:rsid w:val="00EB7808"/>
    <w:rsid w:val="00EC2746"/>
    <w:rsid w:val="00EC5CCF"/>
    <w:rsid w:val="00ED44C2"/>
    <w:rsid w:val="00ED6FE7"/>
    <w:rsid w:val="00EE17DB"/>
    <w:rsid w:val="00EE5281"/>
    <w:rsid w:val="00EF2023"/>
    <w:rsid w:val="00F0225E"/>
    <w:rsid w:val="00F0247F"/>
    <w:rsid w:val="00F04A3F"/>
    <w:rsid w:val="00F060F6"/>
    <w:rsid w:val="00F07790"/>
    <w:rsid w:val="00F12AAB"/>
    <w:rsid w:val="00F278DA"/>
    <w:rsid w:val="00F310C8"/>
    <w:rsid w:val="00F327AD"/>
    <w:rsid w:val="00F33024"/>
    <w:rsid w:val="00F40777"/>
    <w:rsid w:val="00F42D65"/>
    <w:rsid w:val="00F44C8F"/>
    <w:rsid w:val="00F51EB5"/>
    <w:rsid w:val="00F53A49"/>
    <w:rsid w:val="00F5531E"/>
    <w:rsid w:val="00F5745B"/>
    <w:rsid w:val="00F64B5A"/>
    <w:rsid w:val="00F653E7"/>
    <w:rsid w:val="00F72459"/>
    <w:rsid w:val="00F72A90"/>
    <w:rsid w:val="00F74DEF"/>
    <w:rsid w:val="00F7574F"/>
    <w:rsid w:val="00F816DE"/>
    <w:rsid w:val="00F821DB"/>
    <w:rsid w:val="00F85436"/>
    <w:rsid w:val="00F87CAA"/>
    <w:rsid w:val="00F9084C"/>
    <w:rsid w:val="00F93CE3"/>
    <w:rsid w:val="00F9528E"/>
    <w:rsid w:val="00FA3930"/>
    <w:rsid w:val="00FA520A"/>
    <w:rsid w:val="00FA76F4"/>
    <w:rsid w:val="00FA7795"/>
    <w:rsid w:val="00FB1445"/>
    <w:rsid w:val="00FB17CF"/>
    <w:rsid w:val="00FB2717"/>
    <w:rsid w:val="00FB47AC"/>
    <w:rsid w:val="00FB4B57"/>
    <w:rsid w:val="00FC0819"/>
    <w:rsid w:val="00FC27A2"/>
    <w:rsid w:val="00FC472A"/>
    <w:rsid w:val="00FC7308"/>
    <w:rsid w:val="00FC7FEF"/>
    <w:rsid w:val="00FD1DBC"/>
    <w:rsid w:val="00FE160E"/>
    <w:rsid w:val="00FE34AE"/>
    <w:rsid w:val="00FE3947"/>
    <w:rsid w:val="00FE49E0"/>
    <w:rsid w:val="00FE6374"/>
    <w:rsid w:val="00FF2055"/>
    <w:rsid w:val="00FF2368"/>
    <w:rsid w:val="00FF2E0B"/>
    <w:rsid w:val="00FF3A3A"/>
    <w:rsid w:val="00FF4A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colormru v:ext="edit" colors="#0a71a8,#d7e3ee,#a7c0f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0DC3"/>
    <w:pPr>
      <w:widowControl w:val="0"/>
      <w:jc w:val="both"/>
    </w:pPr>
    <w:rPr>
      <w:kern w:val="2"/>
      <w:sz w:val="21"/>
      <w:szCs w:val="24"/>
    </w:rPr>
  </w:style>
  <w:style w:type="paragraph" w:styleId="1">
    <w:name w:val="heading 1"/>
    <w:basedOn w:val="a"/>
    <w:next w:val="a"/>
    <w:link w:val="1Char"/>
    <w:uiPriority w:val="9"/>
    <w:qFormat/>
    <w:rsid w:val="0011106F"/>
    <w:pPr>
      <w:keepNext/>
      <w:keepLines/>
      <w:spacing w:before="340" w:after="330" w:line="578" w:lineRule="auto"/>
      <w:outlineLvl w:val="0"/>
    </w:pPr>
    <w:rPr>
      <w:rFonts w:ascii="Calibri" w:hAnsi="Calibri"/>
      <w:b/>
      <w:bCs/>
      <w:kern w:val="44"/>
      <w:sz w:val="44"/>
      <w:szCs w:val="44"/>
    </w:rPr>
  </w:style>
  <w:style w:type="paragraph" w:styleId="3">
    <w:name w:val="heading 3"/>
    <w:basedOn w:val="a"/>
    <w:next w:val="a"/>
    <w:link w:val="3Char"/>
    <w:uiPriority w:val="9"/>
    <w:qFormat/>
    <w:rsid w:val="009F4E7F"/>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42927"/>
    <w:pPr>
      <w:tabs>
        <w:tab w:val="center" w:pos="4153"/>
        <w:tab w:val="right" w:pos="8306"/>
      </w:tabs>
      <w:snapToGrid w:val="0"/>
      <w:jc w:val="center"/>
    </w:pPr>
    <w:rPr>
      <w:sz w:val="18"/>
      <w:szCs w:val="18"/>
    </w:rPr>
  </w:style>
  <w:style w:type="paragraph" w:styleId="a4">
    <w:name w:val="footer"/>
    <w:basedOn w:val="a"/>
    <w:link w:val="Char0"/>
    <w:uiPriority w:val="99"/>
    <w:rsid w:val="00142927"/>
    <w:pPr>
      <w:tabs>
        <w:tab w:val="center" w:pos="4153"/>
        <w:tab w:val="right" w:pos="8306"/>
      </w:tabs>
      <w:snapToGrid w:val="0"/>
      <w:jc w:val="left"/>
    </w:pPr>
    <w:rPr>
      <w:sz w:val="18"/>
      <w:szCs w:val="18"/>
    </w:rPr>
  </w:style>
  <w:style w:type="paragraph" w:customStyle="1" w:styleId="Pullquote">
    <w:name w:val="Pullquote"/>
    <w:basedOn w:val="a"/>
    <w:rsid w:val="00914540"/>
    <w:pPr>
      <w:pBdr>
        <w:top w:val="single" w:sz="6" w:space="1" w:color="336699"/>
        <w:bottom w:val="single" w:sz="6" w:space="3" w:color="336699"/>
      </w:pBdr>
      <w:spacing w:before="60" w:after="60" w:line="280" w:lineRule="exact"/>
      <w:ind w:left="58" w:right="58"/>
      <w:jc w:val="center"/>
    </w:pPr>
    <w:rPr>
      <w:rFonts w:ascii="Arial" w:hAnsi="Arial"/>
      <w:i/>
      <w:color w:val="336699"/>
      <w:sz w:val="22"/>
    </w:rPr>
  </w:style>
  <w:style w:type="character" w:customStyle="1" w:styleId="1Char">
    <w:name w:val="标题 1 Char"/>
    <w:link w:val="1"/>
    <w:uiPriority w:val="9"/>
    <w:rsid w:val="0011106F"/>
    <w:rPr>
      <w:rFonts w:ascii="Calibri" w:eastAsia="宋体" w:hAnsi="Calibri" w:cs="Times New Roman"/>
      <w:b/>
      <w:bCs/>
      <w:kern w:val="44"/>
      <w:sz w:val="44"/>
      <w:szCs w:val="44"/>
    </w:rPr>
  </w:style>
  <w:style w:type="paragraph" w:styleId="a5">
    <w:name w:val="List Paragraph"/>
    <w:basedOn w:val="a"/>
    <w:uiPriority w:val="34"/>
    <w:qFormat/>
    <w:rsid w:val="0011106F"/>
    <w:pPr>
      <w:ind w:firstLineChars="200" w:firstLine="420"/>
    </w:pPr>
    <w:rPr>
      <w:rFonts w:ascii="Calibri" w:hAnsi="Calibri"/>
      <w:szCs w:val="22"/>
    </w:rPr>
  </w:style>
  <w:style w:type="paragraph" w:styleId="HTML">
    <w:name w:val="HTML Preformatted"/>
    <w:basedOn w:val="a"/>
    <w:link w:val="HTMLChar"/>
    <w:uiPriority w:val="99"/>
    <w:unhideWhenUsed/>
    <w:rsid w:val="001110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link w:val="HTML"/>
    <w:uiPriority w:val="99"/>
    <w:rsid w:val="0011106F"/>
    <w:rPr>
      <w:rFonts w:ascii="宋体" w:hAnsi="宋体" w:cs="宋体"/>
      <w:sz w:val="24"/>
      <w:szCs w:val="24"/>
    </w:rPr>
  </w:style>
  <w:style w:type="paragraph" w:styleId="a6">
    <w:name w:val="Normal (Web)"/>
    <w:basedOn w:val="a"/>
    <w:uiPriority w:val="99"/>
    <w:unhideWhenUsed/>
    <w:rsid w:val="0011106F"/>
    <w:pPr>
      <w:widowControl/>
      <w:spacing w:before="100" w:beforeAutospacing="1" w:after="100" w:afterAutospacing="1"/>
      <w:jc w:val="left"/>
    </w:pPr>
    <w:rPr>
      <w:rFonts w:ascii="宋体" w:hAnsi="宋体" w:cs="宋体"/>
      <w:kern w:val="0"/>
      <w:sz w:val="24"/>
    </w:rPr>
  </w:style>
  <w:style w:type="paragraph" w:customStyle="1" w:styleId="tdword2">
    <w:name w:val="tdword2"/>
    <w:basedOn w:val="a"/>
    <w:rsid w:val="0011106F"/>
    <w:pPr>
      <w:widowControl/>
      <w:spacing w:before="100" w:beforeAutospacing="1" w:after="100" w:afterAutospacing="1"/>
      <w:ind w:left="180" w:right="300"/>
      <w:jc w:val="left"/>
    </w:pPr>
    <w:rPr>
      <w:rFonts w:ascii="宋体" w:hAnsi="宋体" w:cs="宋体"/>
      <w:kern w:val="0"/>
      <w:sz w:val="24"/>
    </w:rPr>
  </w:style>
  <w:style w:type="character" w:styleId="a7">
    <w:name w:val="Hyperlink"/>
    <w:uiPriority w:val="99"/>
    <w:unhideWhenUsed/>
    <w:rsid w:val="0011106F"/>
    <w:rPr>
      <w:strike w:val="0"/>
      <w:dstrike w:val="0"/>
      <w:color w:val="000000"/>
      <w:u w:val="none"/>
      <w:effect w:val="none"/>
    </w:rPr>
  </w:style>
  <w:style w:type="character" w:customStyle="1" w:styleId="Char">
    <w:name w:val="页眉 Char"/>
    <w:link w:val="a3"/>
    <w:uiPriority w:val="99"/>
    <w:rsid w:val="0011106F"/>
    <w:rPr>
      <w:kern w:val="2"/>
      <w:sz w:val="18"/>
      <w:szCs w:val="18"/>
    </w:rPr>
  </w:style>
  <w:style w:type="character" w:customStyle="1" w:styleId="Char0">
    <w:name w:val="页脚 Char"/>
    <w:link w:val="a4"/>
    <w:uiPriority w:val="99"/>
    <w:rsid w:val="0011106F"/>
    <w:rPr>
      <w:kern w:val="2"/>
      <w:sz w:val="18"/>
      <w:szCs w:val="18"/>
    </w:rPr>
  </w:style>
  <w:style w:type="character" w:customStyle="1" w:styleId="3Char">
    <w:name w:val="标题 3 Char"/>
    <w:link w:val="3"/>
    <w:uiPriority w:val="9"/>
    <w:semiHidden/>
    <w:rsid w:val="009F4E7F"/>
    <w:rPr>
      <w:rFonts w:ascii="Calibri" w:eastAsia="宋体" w:hAnsi="Calibri" w:cs="Times New Roman"/>
      <w:b/>
      <w:bCs/>
      <w:kern w:val="2"/>
      <w:sz w:val="32"/>
      <w:szCs w:val="32"/>
    </w:rPr>
  </w:style>
  <w:style w:type="character" w:customStyle="1" w:styleId="headline-content2">
    <w:name w:val="headline-content2"/>
    <w:basedOn w:val="a0"/>
    <w:rsid w:val="009F4E7F"/>
  </w:style>
  <w:style w:type="character" w:styleId="a8">
    <w:name w:val="FollowedHyperlink"/>
    <w:aliases w:val="访问过的超链接"/>
    <w:rsid w:val="00D70530"/>
    <w:rPr>
      <w:color w:val="800080"/>
      <w:u w:val="single"/>
    </w:rPr>
  </w:style>
  <w:style w:type="paragraph" w:styleId="a9">
    <w:name w:val="Balloon Text"/>
    <w:basedOn w:val="a"/>
    <w:link w:val="Char1"/>
    <w:rsid w:val="00E367F5"/>
    <w:rPr>
      <w:sz w:val="18"/>
      <w:szCs w:val="18"/>
    </w:rPr>
  </w:style>
  <w:style w:type="character" w:customStyle="1" w:styleId="Char1">
    <w:name w:val="批注框文本 Char"/>
    <w:link w:val="a9"/>
    <w:rsid w:val="00E367F5"/>
    <w:rPr>
      <w:kern w:val="2"/>
      <w:sz w:val="18"/>
      <w:szCs w:val="18"/>
    </w:rPr>
  </w:style>
  <w:style w:type="paragraph" w:styleId="aa">
    <w:name w:val="Document Map"/>
    <w:basedOn w:val="a"/>
    <w:link w:val="Char2"/>
    <w:rsid w:val="004027F8"/>
    <w:rPr>
      <w:rFonts w:ascii="宋体"/>
      <w:sz w:val="18"/>
      <w:szCs w:val="18"/>
    </w:rPr>
  </w:style>
  <w:style w:type="character" w:customStyle="1" w:styleId="Char2">
    <w:name w:val="文档结构图 Char"/>
    <w:link w:val="aa"/>
    <w:rsid w:val="004027F8"/>
    <w:rPr>
      <w:rFonts w:ascii="宋体"/>
      <w:kern w:val="2"/>
      <w:sz w:val="18"/>
      <w:szCs w:val="18"/>
    </w:rPr>
  </w:style>
  <w:style w:type="character" w:styleId="ab">
    <w:name w:val="annotation reference"/>
    <w:basedOn w:val="a0"/>
    <w:rsid w:val="00044B79"/>
    <w:rPr>
      <w:sz w:val="21"/>
      <w:szCs w:val="21"/>
    </w:rPr>
  </w:style>
  <w:style w:type="paragraph" w:styleId="ac">
    <w:name w:val="annotation text"/>
    <w:basedOn w:val="a"/>
    <w:link w:val="Char3"/>
    <w:rsid w:val="00044B79"/>
    <w:pPr>
      <w:jc w:val="left"/>
    </w:pPr>
  </w:style>
  <w:style w:type="character" w:customStyle="1" w:styleId="Char3">
    <w:name w:val="批注文字 Char"/>
    <w:basedOn w:val="a0"/>
    <w:link w:val="ac"/>
    <w:rsid w:val="00044B79"/>
    <w:rPr>
      <w:kern w:val="2"/>
      <w:sz w:val="21"/>
      <w:szCs w:val="24"/>
    </w:rPr>
  </w:style>
</w:styles>
</file>

<file path=word/webSettings.xml><?xml version="1.0" encoding="utf-8"?>
<w:webSettings xmlns:r="http://schemas.openxmlformats.org/officeDocument/2006/relationships" xmlns:w="http://schemas.openxmlformats.org/wordprocessingml/2006/main">
  <w:divs>
    <w:div w:id="3439716">
      <w:bodyDiv w:val="1"/>
      <w:marLeft w:val="0"/>
      <w:marRight w:val="0"/>
      <w:marTop w:val="0"/>
      <w:marBottom w:val="0"/>
      <w:divBdr>
        <w:top w:val="none" w:sz="0" w:space="0" w:color="auto"/>
        <w:left w:val="none" w:sz="0" w:space="0" w:color="auto"/>
        <w:bottom w:val="none" w:sz="0" w:space="0" w:color="auto"/>
        <w:right w:val="none" w:sz="0" w:space="0" w:color="auto"/>
      </w:divBdr>
      <w:divsChild>
        <w:div w:id="1549951216">
          <w:marLeft w:val="0"/>
          <w:marRight w:val="0"/>
          <w:marTop w:val="0"/>
          <w:marBottom w:val="0"/>
          <w:divBdr>
            <w:top w:val="none" w:sz="0" w:space="0" w:color="auto"/>
            <w:left w:val="none" w:sz="0" w:space="0" w:color="auto"/>
            <w:bottom w:val="none" w:sz="0" w:space="0" w:color="auto"/>
            <w:right w:val="none" w:sz="0" w:space="0" w:color="auto"/>
          </w:divBdr>
          <w:divsChild>
            <w:div w:id="1933079012">
              <w:marLeft w:val="0"/>
              <w:marRight w:val="0"/>
              <w:marTop w:val="0"/>
              <w:marBottom w:val="0"/>
              <w:divBdr>
                <w:top w:val="none" w:sz="0" w:space="0" w:color="auto"/>
                <w:left w:val="single" w:sz="6" w:space="0" w:color="999999"/>
                <w:bottom w:val="single" w:sz="6" w:space="0" w:color="999999"/>
                <w:right w:val="single" w:sz="6" w:space="0" w:color="999999"/>
              </w:divBdr>
              <w:divsChild>
                <w:div w:id="573707895">
                  <w:marLeft w:val="0"/>
                  <w:marRight w:val="0"/>
                  <w:marTop w:val="0"/>
                  <w:marBottom w:val="0"/>
                  <w:divBdr>
                    <w:top w:val="none" w:sz="0" w:space="0" w:color="auto"/>
                    <w:left w:val="none" w:sz="0" w:space="0" w:color="auto"/>
                    <w:bottom w:val="none" w:sz="0" w:space="0" w:color="auto"/>
                    <w:right w:val="none" w:sz="0" w:space="0" w:color="auto"/>
                  </w:divBdr>
                  <w:divsChild>
                    <w:div w:id="1825702843">
                      <w:marLeft w:val="0"/>
                      <w:marRight w:val="0"/>
                      <w:marTop w:val="0"/>
                      <w:marBottom w:val="0"/>
                      <w:divBdr>
                        <w:top w:val="none" w:sz="0" w:space="0" w:color="auto"/>
                        <w:left w:val="none" w:sz="0" w:space="0" w:color="auto"/>
                        <w:bottom w:val="none" w:sz="0" w:space="0" w:color="auto"/>
                        <w:right w:val="none" w:sz="0" w:space="0" w:color="auto"/>
                      </w:divBdr>
                      <w:divsChild>
                        <w:div w:id="191878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7324">
      <w:bodyDiv w:val="1"/>
      <w:marLeft w:val="0"/>
      <w:marRight w:val="0"/>
      <w:marTop w:val="0"/>
      <w:marBottom w:val="0"/>
      <w:divBdr>
        <w:top w:val="none" w:sz="0" w:space="0" w:color="auto"/>
        <w:left w:val="none" w:sz="0" w:space="0" w:color="auto"/>
        <w:bottom w:val="none" w:sz="0" w:space="0" w:color="auto"/>
        <w:right w:val="none" w:sz="0" w:space="0" w:color="auto"/>
      </w:divBdr>
    </w:div>
    <w:div w:id="60254514">
      <w:bodyDiv w:val="1"/>
      <w:marLeft w:val="0"/>
      <w:marRight w:val="0"/>
      <w:marTop w:val="0"/>
      <w:marBottom w:val="0"/>
      <w:divBdr>
        <w:top w:val="none" w:sz="0" w:space="0" w:color="auto"/>
        <w:left w:val="none" w:sz="0" w:space="0" w:color="auto"/>
        <w:bottom w:val="none" w:sz="0" w:space="0" w:color="auto"/>
        <w:right w:val="none" w:sz="0" w:space="0" w:color="auto"/>
      </w:divBdr>
    </w:div>
    <w:div w:id="205800827">
      <w:bodyDiv w:val="1"/>
      <w:marLeft w:val="0"/>
      <w:marRight w:val="0"/>
      <w:marTop w:val="0"/>
      <w:marBottom w:val="0"/>
      <w:divBdr>
        <w:top w:val="none" w:sz="0" w:space="0" w:color="auto"/>
        <w:left w:val="none" w:sz="0" w:space="0" w:color="auto"/>
        <w:bottom w:val="none" w:sz="0" w:space="0" w:color="auto"/>
        <w:right w:val="none" w:sz="0" w:space="0" w:color="auto"/>
      </w:divBdr>
    </w:div>
    <w:div w:id="310406689">
      <w:bodyDiv w:val="1"/>
      <w:marLeft w:val="0"/>
      <w:marRight w:val="0"/>
      <w:marTop w:val="0"/>
      <w:marBottom w:val="0"/>
      <w:divBdr>
        <w:top w:val="none" w:sz="0" w:space="0" w:color="auto"/>
        <w:left w:val="none" w:sz="0" w:space="0" w:color="auto"/>
        <w:bottom w:val="none" w:sz="0" w:space="0" w:color="auto"/>
        <w:right w:val="none" w:sz="0" w:space="0" w:color="auto"/>
      </w:divBdr>
    </w:div>
    <w:div w:id="334266341">
      <w:bodyDiv w:val="1"/>
      <w:marLeft w:val="0"/>
      <w:marRight w:val="0"/>
      <w:marTop w:val="0"/>
      <w:marBottom w:val="0"/>
      <w:divBdr>
        <w:top w:val="none" w:sz="0" w:space="0" w:color="auto"/>
        <w:left w:val="none" w:sz="0" w:space="0" w:color="auto"/>
        <w:bottom w:val="none" w:sz="0" w:space="0" w:color="auto"/>
        <w:right w:val="none" w:sz="0" w:space="0" w:color="auto"/>
      </w:divBdr>
    </w:div>
    <w:div w:id="432482112">
      <w:bodyDiv w:val="1"/>
      <w:marLeft w:val="0"/>
      <w:marRight w:val="0"/>
      <w:marTop w:val="0"/>
      <w:marBottom w:val="0"/>
      <w:divBdr>
        <w:top w:val="none" w:sz="0" w:space="0" w:color="auto"/>
        <w:left w:val="none" w:sz="0" w:space="0" w:color="auto"/>
        <w:bottom w:val="none" w:sz="0" w:space="0" w:color="auto"/>
        <w:right w:val="none" w:sz="0" w:space="0" w:color="auto"/>
      </w:divBdr>
    </w:div>
    <w:div w:id="484512339">
      <w:bodyDiv w:val="1"/>
      <w:marLeft w:val="0"/>
      <w:marRight w:val="0"/>
      <w:marTop w:val="0"/>
      <w:marBottom w:val="0"/>
      <w:divBdr>
        <w:top w:val="none" w:sz="0" w:space="0" w:color="auto"/>
        <w:left w:val="none" w:sz="0" w:space="0" w:color="auto"/>
        <w:bottom w:val="none" w:sz="0" w:space="0" w:color="auto"/>
        <w:right w:val="none" w:sz="0" w:space="0" w:color="auto"/>
      </w:divBdr>
    </w:div>
    <w:div w:id="520244193">
      <w:bodyDiv w:val="1"/>
      <w:marLeft w:val="0"/>
      <w:marRight w:val="0"/>
      <w:marTop w:val="0"/>
      <w:marBottom w:val="0"/>
      <w:divBdr>
        <w:top w:val="none" w:sz="0" w:space="0" w:color="auto"/>
        <w:left w:val="none" w:sz="0" w:space="0" w:color="auto"/>
        <w:bottom w:val="none" w:sz="0" w:space="0" w:color="auto"/>
        <w:right w:val="none" w:sz="0" w:space="0" w:color="auto"/>
      </w:divBdr>
    </w:div>
    <w:div w:id="565067676">
      <w:bodyDiv w:val="1"/>
      <w:marLeft w:val="0"/>
      <w:marRight w:val="0"/>
      <w:marTop w:val="0"/>
      <w:marBottom w:val="0"/>
      <w:divBdr>
        <w:top w:val="none" w:sz="0" w:space="0" w:color="auto"/>
        <w:left w:val="none" w:sz="0" w:space="0" w:color="auto"/>
        <w:bottom w:val="none" w:sz="0" w:space="0" w:color="auto"/>
        <w:right w:val="none" w:sz="0" w:space="0" w:color="auto"/>
      </w:divBdr>
      <w:divsChild>
        <w:div w:id="1197768443">
          <w:marLeft w:val="0"/>
          <w:marRight w:val="0"/>
          <w:marTop w:val="0"/>
          <w:marBottom w:val="0"/>
          <w:divBdr>
            <w:top w:val="none" w:sz="0" w:space="0" w:color="auto"/>
            <w:left w:val="none" w:sz="0" w:space="0" w:color="auto"/>
            <w:bottom w:val="none" w:sz="0" w:space="0" w:color="auto"/>
            <w:right w:val="none" w:sz="0" w:space="0" w:color="auto"/>
          </w:divBdr>
          <w:divsChild>
            <w:div w:id="1134369095">
              <w:marLeft w:val="0"/>
              <w:marRight w:val="0"/>
              <w:marTop w:val="0"/>
              <w:marBottom w:val="0"/>
              <w:divBdr>
                <w:top w:val="none" w:sz="0" w:space="0" w:color="auto"/>
                <w:left w:val="single" w:sz="6" w:space="0" w:color="999999"/>
                <w:bottom w:val="single" w:sz="6" w:space="0" w:color="999999"/>
                <w:right w:val="single" w:sz="6" w:space="0" w:color="999999"/>
              </w:divBdr>
              <w:divsChild>
                <w:div w:id="910774963">
                  <w:marLeft w:val="0"/>
                  <w:marRight w:val="0"/>
                  <w:marTop w:val="0"/>
                  <w:marBottom w:val="0"/>
                  <w:divBdr>
                    <w:top w:val="none" w:sz="0" w:space="0" w:color="auto"/>
                    <w:left w:val="none" w:sz="0" w:space="0" w:color="auto"/>
                    <w:bottom w:val="none" w:sz="0" w:space="0" w:color="auto"/>
                    <w:right w:val="none" w:sz="0" w:space="0" w:color="auto"/>
                  </w:divBdr>
                  <w:divsChild>
                    <w:div w:id="1683779423">
                      <w:marLeft w:val="0"/>
                      <w:marRight w:val="0"/>
                      <w:marTop w:val="0"/>
                      <w:marBottom w:val="0"/>
                      <w:divBdr>
                        <w:top w:val="none" w:sz="0" w:space="0" w:color="auto"/>
                        <w:left w:val="none" w:sz="0" w:space="0" w:color="auto"/>
                        <w:bottom w:val="none" w:sz="0" w:space="0" w:color="auto"/>
                        <w:right w:val="none" w:sz="0" w:space="0" w:color="auto"/>
                      </w:divBdr>
                      <w:divsChild>
                        <w:div w:id="20440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033741">
      <w:bodyDiv w:val="1"/>
      <w:marLeft w:val="0"/>
      <w:marRight w:val="0"/>
      <w:marTop w:val="0"/>
      <w:marBottom w:val="0"/>
      <w:divBdr>
        <w:top w:val="none" w:sz="0" w:space="0" w:color="auto"/>
        <w:left w:val="none" w:sz="0" w:space="0" w:color="auto"/>
        <w:bottom w:val="none" w:sz="0" w:space="0" w:color="auto"/>
        <w:right w:val="none" w:sz="0" w:space="0" w:color="auto"/>
      </w:divBdr>
    </w:div>
    <w:div w:id="736824000">
      <w:bodyDiv w:val="1"/>
      <w:marLeft w:val="0"/>
      <w:marRight w:val="0"/>
      <w:marTop w:val="0"/>
      <w:marBottom w:val="0"/>
      <w:divBdr>
        <w:top w:val="none" w:sz="0" w:space="0" w:color="auto"/>
        <w:left w:val="none" w:sz="0" w:space="0" w:color="auto"/>
        <w:bottom w:val="none" w:sz="0" w:space="0" w:color="auto"/>
        <w:right w:val="none" w:sz="0" w:space="0" w:color="auto"/>
      </w:divBdr>
    </w:div>
    <w:div w:id="816844798">
      <w:bodyDiv w:val="1"/>
      <w:marLeft w:val="0"/>
      <w:marRight w:val="0"/>
      <w:marTop w:val="0"/>
      <w:marBottom w:val="0"/>
      <w:divBdr>
        <w:top w:val="none" w:sz="0" w:space="0" w:color="auto"/>
        <w:left w:val="none" w:sz="0" w:space="0" w:color="auto"/>
        <w:bottom w:val="none" w:sz="0" w:space="0" w:color="auto"/>
        <w:right w:val="none" w:sz="0" w:space="0" w:color="auto"/>
      </w:divBdr>
    </w:div>
    <w:div w:id="835341198">
      <w:bodyDiv w:val="1"/>
      <w:marLeft w:val="0"/>
      <w:marRight w:val="0"/>
      <w:marTop w:val="0"/>
      <w:marBottom w:val="0"/>
      <w:divBdr>
        <w:top w:val="none" w:sz="0" w:space="0" w:color="auto"/>
        <w:left w:val="none" w:sz="0" w:space="0" w:color="auto"/>
        <w:bottom w:val="none" w:sz="0" w:space="0" w:color="auto"/>
        <w:right w:val="none" w:sz="0" w:space="0" w:color="auto"/>
      </w:divBdr>
    </w:div>
    <w:div w:id="904753959">
      <w:bodyDiv w:val="1"/>
      <w:marLeft w:val="0"/>
      <w:marRight w:val="0"/>
      <w:marTop w:val="0"/>
      <w:marBottom w:val="0"/>
      <w:divBdr>
        <w:top w:val="none" w:sz="0" w:space="0" w:color="auto"/>
        <w:left w:val="none" w:sz="0" w:space="0" w:color="auto"/>
        <w:bottom w:val="none" w:sz="0" w:space="0" w:color="auto"/>
        <w:right w:val="none" w:sz="0" w:space="0" w:color="auto"/>
      </w:divBdr>
    </w:div>
    <w:div w:id="995376532">
      <w:bodyDiv w:val="1"/>
      <w:marLeft w:val="0"/>
      <w:marRight w:val="0"/>
      <w:marTop w:val="0"/>
      <w:marBottom w:val="0"/>
      <w:divBdr>
        <w:top w:val="none" w:sz="0" w:space="0" w:color="auto"/>
        <w:left w:val="none" w:sz="0" w:space="0" w:color="auto"/>
        <w:bottom w:val="none" w:sz="0" w:space="0" w:color="auto"/>
        <w:right w:val="none" w:sz="0" w:space="0" w:color="auto"/>
      </w:divBdr>
    </w:div>
    <w:div w:id="1065030358">
      <w:bodyDiv w:val="1"/>
      <w:marLeft w:val="0"/>
      <w:marRight w:val="0"/>
      <w:marTop w:val="0"/>
      <w:marBottom w:val="0"/>
      <w:divBdr>
        <w:top w:val="none" w:sz="0" w:space="0" w:color="auto"/>
        <w:left w:val="none" w:sz="0" w:space="0" w:color="auto"/>
        <w:bottom w:val="none" w:sz="0" w:space="0" w:color="auto"/>
        <w:right w:val="none" w:sz="0" w:space="0" w:color="auto"/>
      </w:divBdr>
    </w:div>
    <w:div w:id="1126629885">
      <w:bodyDiv w:val="1"/>
      <w:marLeft w:val="0"/>
      <w:marRight w:val="0"/>
      <w:marTop w:val="0"/>
      <w:marBottom w:val="0"/>
      <w:divBdr>
        <w:top w:val="none" w:sz="0" w:space="0" w:color="auto"/>
        <w:left w:val="none" w:sz="0" w:space="0" w:color="auto"/>
        <w:bottom w:val="none" w:sz="0" w:space="0" w:color="auto"/>
        <w:right w:val="none" w:sz="0" w:space="0" w:color="auto"/>
      </w:divBdr>
    </w:div>
    <w:div w:id="1171720582">
      <w:bodyDiv w:val="1"/>
      <w:marLeft w:val="0"/>
      <w:marRight w:val="0"/>
      <w:marTop w:val="0"/>
      <w:marBottom w:val="0"/>
      <w:divBdr>
        <w:top w:val="none" w:sz="0" w:space="0" w:color="auto"/>
        <w:left w:val="none" w:sz="0" w:space="0" w:color="auto"/>
        <w:bottom w:val="none" w:sz="0" w:space="0" w:color="auto"/>
        <w:right w:val="none" w:sz="0" w:space="0" w:color="auto"/>
      </w:divBdr>
    </w:div>
    <w:div w:id="1379862656">
      <w:bodyDiv w:val="1"/>
      <w:marLeft w:val="0"/>
      <w:marRight w:val="0"/>
      <w:marTop w:val="0"/>
      <w:marBottom w:val="0"/>
      <w:divBdr>
        <w:top w:val="none" w:sz="0" w:space="0" w:color="auto"/>
        <w:left w:val="none" w:sz="0" w:space="0" w:color="auto"/>
        <w:bottom w:val="none" w:sz="0" w:space="0" w:color="auto"/>
        <w:right w:val="none" w:sz="0" w:space="0" w:color="auto"/>
      </w:divBdr>
    </w:div>
    <w:div w:id="1537356235">
      <w:bodyDiv w:val="1"/>
      <w:marLeft w:val="0"/>
      <w:marRight w:val="0"/>
      <w:marTop w:val="0"/>
      <w:marBottom w:val="0"/>
      <w:divBdr>
        <w:top w:val="none" w:sz="0" w:space="0" w:color="auto"/>
        <w:left w:val="none" w:sz="0" w:space="0" w:color="auto"/>
        <w:bottom w:val="none" w:sz="0" w:space="0" w:color="auto"/>
        <w:right w:val="none" w:sz="0" w:space="0" w:color="auto"/>
      </w:divBdr>
      <w:divsChild>
        <w:div w:id="894505727">
          <w:marLeft w:val="0"/>
          <w:marRight w:val="0"/>
          <w:marTop w:val="0"/>
          <w:marBottom w:val="0"/>
          <w:divBdr>
            <w:top w:val="none" w:sz="0" w:space="0" w:color="auto"/>
            <w:left w:val="none" w:sz="0" w:space="0" w:color="auto"/>
            <w:bottom w:val="none" w:sz="0" w:space="0" w:color="auto"/>
            <w:right w:val="none" w:sz="0" w:space="0" w:color="auto"/>
          </w:divBdr>
          <w:divsChild>
            <w:div w:id="861209908">
              <w:marLeft w:val="0"/>
              <w:marRight w:val="0"/>
              <w:marTop w:val="0"/>
              <w:marBottom w:val="0"/>
              <w:divBdr>
                <w:top w:val="single" w:sz="18" w:space="0" w:color="4C4C4E"/>
                <w:left w:val="single" w:sz="6" w:space="0" w:color="CCCCCC"/>
                <w:bottom w:val="single" w:sz="6" w:space="0" w:color="CCCCCC"/>
                <w:right w:val="none" w:sz="0" w:space="0" w:color="auto"/>
              </w:divBdr>
              <w:divsChild>
                <w:div w:id="889612377">
                  <w:marLeft w:val="0"/>
                  <w:marRight w:val="0"/>
                  <w:marTop w:val="0"/>
                  <w:marBottom w:val="0"/>
                  <w:divBdr>
                    <w:top w:val="none" w:sz="0" w:space="0" w:color="auto"/>
                    <w:left w:val="none" w:sz="0" w:space="0" w:color="auto"/>
                    <w:bottom w:val="none" w:sz="0" w:space="0" w:color="auto"/>
                    <w:right w:val="single" w:sz="6" w:space="8" w:color="EEEEEE"/>
                  </w:divBdr>
                </w:div>
              </w:divsChild>
            </w:div>
          </w:divsChild>
        </w:div>
      </w:divsChild>
    </w:div>
    <w:div w:id="1645742402">
      <w:bodyDiv w:val="1"/>
      <w:marLeft w:val="0"/>
      <w:marRight w:val="0"/>
      <w:marTop w:val="0"/>
      <w:marBottom w:val="0"/>
      <w:divBdr>
        <w:top w:val="none" w:sz="0" w:space="0" w:color="auto"/>
        <w:left w:val="none" w:sz="0" w:space="0" w:color="auto"/>
        <w:bottom w:val="none" w:sz="0" w:space="0" w:color="auto"/>
        <w:right w:val="none" w:sz="0" w:space="0" w:color="auto"/>
      </w:divBdr>
    </w:div>
    <w:div w:id="1854025109">
      <w:bodyDiv w:val="1"/>
      <w:marLeft w:val="0"/>
      <w:marRight w:val="0"/>
      <w:marTop w:val="0"/>
      <w:marBottom w:val="0"/>
      <w:divBdr>
        <w:top w:val="none" w:sz="0" w:space="0" w:color="auto"/>
        <w:left w:val="none" w:sz="0" w:space="0" w:color="auto"/>
        <w:bottom w:val="none" w:sz="0" w:space="0" w:color="auto"/>
        <w:right w:val="none" w:sz="0" w:space="0" w:color="auto"/>
      </w:divBdr>
      <w:divsChild>
        <w:div w:id="2132556073">
          <w:marLeft w:val="0"/>
          <w:marRight w:val="0"/>
          <w:marTop w:val="0"/>
          <w:marBottom w:val="0"/>
          <w:divBdr>
            <w:top w:val="none" w:sz="0" w:space="0" w:color="auto"/>
            <w:left w:val="none" w:sz="0" w:space="0" w:color="auto"/>
            <w:bottom w:val="none" w:sz="0" w:space="0" w:color="auto"/>
            <w:right w:val="none" w:sz="0" w:space="0" w:color="auto"/>
          </w:divBdr>
          <w:divsChild>
            <w:div w:id="461194702">
              <w:marLeft w:val="0"/>
              <w:marRight w:val="0"/>
              <w:marTop w:val="0"/>
              <w:marBottom w:val="0"/>
              <w:divBdr>
                <w:top w:val="none" w:sz="0" w:space="0" w:color="auto"/>
                <w:left w:val="single" w:sz="6" w:space="0" w:color="999999"/>
                <w:bottom w:val="single" w:sz="6" w:space="0" w:color="999999"/>
                <w:right w:val="single" w:sz="6" w:space="0" w:color="999999"/>
              </w:divBdr>
              <w:divsChild>
                <w:div w:id="1604145222">
                  <w:marLeft w:val="0"/>
                  <w:marRight w:val="0"/>
                  <w:marTop w:val="0"/>
                  <w:marBottom w:val="0"/>
                  <w:divBdr>
                    <w:top w:val="none" w:sz="0" w:space="0" w:color="auto"/>
                    <w:left w:val="none" w:sz="0" w:space="0" w:color="auto"/>
                    <w:bottom w:val="none" w:sz="0" w:space="0" w:color="auto"/>
                    <w:right w:val="none" w:sz="0" w:space="0" w:color="auto"/>
                  </w:divBdr>
                  <w:divsChild>
                    <w:div w:id="1683824278">
                      <w:marLeft w:val="0"/>
                      <w:marRight w:val="0"/>
                      <w:marTop w:val="0"/>
                      <w:marBottom w:val="0"/>
                      <w:divBdr>
                        <w:top w:val="none" w:sz="0" w:space="0" w:color="auto"/>
                        <w:left w:val="none" w:sz="0" w:space="0" w:color="auto"/>
                        <w:bottom w:val="none" w:sz="0" w:space="0" w:color="auto"/>
                        <w:right w:val="none" w:sz="0" w:space="0" w:color="auto"/>
                      </w:divBdr>
                      <w:divsChild>
                        <w:div w:id="130338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611531">
      <w:bodyDiv w:val="1"/>
      <w:marLeft w:val="0"/>
      <w:marRight w:val="0"/>
      <w:marTop w:val="0"/>
      <w:marBottom w:val="0"/>
      <w:divBdr>
        <w:top w:val="none" w:sz="0" w:space="0" w:color="auto"/>
        <w:left w:val="none" w:sz="0" w:space="0" w:color="auto"/>
        <w:bottom w:val="none" w:sz="0" w:space="0" w:color="auto"/>
        <w:right w:val="none" w:sz="0" w:space="0" w:color="auto"/>
      </w:divBdr>
    </w:div>
    <w:div w:id="1890413347">
      <w:bodyDiv w:val="1"/>
      <w:marLeft w:val="0"/>
      <w:marRight w:val="0"/>
      <w:marTop w:val="0"/>
      <w:marBottom w:val="0"/>
      <w:divBdr>
        <w:top w:val="none" w:sz="0" w:space="0" w:color="auto"/>
        <w:left w:val="none" w:sz="0" w:space="0" w:color="auto"/>
        <w:bottom w:val="none" w:sz="0" w:space="0" w:color="auto"/>
        <w:right w:val="none" w:sz="0" w:space="0" w:color="auto"/>
      </w:divBdr>
    </w:div>
    <w:div w:id="1958179197">
      <w:bodyDiv w:val="1"/>
      <w:marLeft w:val="0"/>
      <w:marRight w:val="0"/>
      <w:marTop w:val="0"/>
      <w:marBottom w:val="0"/>
      <w:divBdr>
        <w:top w:val="none" w:sz="0" w:space="0" w:color="auto"/>
        <w:left w:val="none" w:sz="0" w:space="0" w:color="auto"/>
        <w:bottom w:val="none" w:sz="0" w:space="0" w:color="auto"/>
        <w:right w:val="none" w:sz="0" w:space="0" w:color="auto"/>
      </w:divBdr>
    </w:div>
    <w:div w:id="2034767218">
      <w:bodyDiv w:val="1"/>
      <w:marLeft w:val="0"/>
      <w:marRight w:val="0"/>
      <w:marTop w:val="0"/>
      <w:marBottom w:val="0"/>
      <w:divBdr>
        <w:top w:val="none" w:sz="0" w:space="0" w:color="auto"/>
        <w:left w:val="none" w:sz="0" w:space="0" w:color="auto"/>
        <w:bottom w:val="none" w:sz="0" w:space="0" w:color="auto"/>
        <w:right w:val="none" w:sz="0" w:space="0" w:color="auto"/>
      </w:divBdr>
    </w:div>
    <w:div w:id="2048943411">
      <w:bodyDiv w:val="1"/>
      <w:marLeft w:val="0"/>
      <w:marRight w:val="0"/>
      <w:marTop w:val="0"/>
      <w:marBottom w:val="0"/>
      <w:divBdr>
        <w:top w:val="none" w:sz="0" w:space="0" w:color="auto"/>
        <w:left w:val="none" w:sz="0" w:space="0" w:color="auto"/>
        <w:bottom w:val="none" w:sz="0" w:space="0" w:color="auto"/>
        <w:right w:val="none" w:sz="0" w:space="0" w:color="auto"/>
      </w:divBdr>
      <w:divsChild>
        <w:div w:id="1216283938">
          <w:marLeft w:val="0"/>
          <w:marRight w:val="0"/>
          <w:marTop w:val="0"/>
          <w:marBottom w:val="0"/>
          <w:divBdr>
            <w:top w:val="none" w:sz="0" w:space="0" w:color="auto"/>
            <w:left w:val="none" w:sz="0" w:space="0" w:color="auto"/>
            <w:bottom w:val="none" w:sz="0" w:space="0" w:color="auto"/>
            <w:right w:val="none" w:sz="0" w:space="0" w:color="auto"/>
          </w:divBdr>
          <w:divsChild>
            <w:div w:id="1218784257">
              <w:marLeft w:val="0"/>
              <w:marRight w:val="0"/>
              <w:marTop w:val="0"/>
              <w:marBottom w:val="0"/>
              <w:divBdr>
                <w:top w:val="none" w:sz="0" w:space="0" w:color="auto"/>
                <w:left w:val="single" w:sz="6" w:space="0" w:color="999999"/>
                <w:bottom w:val="single" w:sz="6" w:space="0" w:color="999999"/>
                <w:right w:val="single" w:sz="6" w:space="0" w:color="999999"/>
              </w:divBdr>
              <w:divsChild>
                <w:div w:id="199172687">
                  <w:marLeft w:val="0"/>
                  <w:marRight w:val="0"/>
                  <w:marTop w:val="0"/>
                  <w:marBottom w:val="0"/>
                  <w:divBdr>
                    <w:top w:val="none" w:sz="0" w:space="0" w:color="auto"/>
                    <w:left w:val="none" w:sz="0" w:space="0" w:color="auto"/>
                    <w:bottom w:val="none" w:sz="0" w:space="0" w:color="auto"/>
                    <w:right w:val="none" w:sz="0" w:space="0" w:color="auto"/>
                  </w:divBdr>
                  <w:divsChild>
                    <w:div w:id="658535949">
                      <w:marLeft w:val="0"/>
                      <w:marRight w:val="0"/>
                      <w:marTop w:val="0"/>
                      <w:marBottom w:val="0"/>
                      <w:divBdr>
                        <w:top w:val="none" w:sz="0" w:space="0" w:color="auto"/>
                        <w:left w:val="none" w:sz="0" w:space="0" w:color="auto"/>
                        <w:bottom w:val="none" w:sz="0" w:space="0" w:color="auto"/>
                        <w:right w:val="none" w:sz="0" w:space="0" w:color="auto"/>
                      </w:divBdr>
                      <w:divsChild>
                        <w:div w:id="69377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549916">
      <w:bodyDiv w:val="1"/>
      <w:marLeft w:val="0"/>
      <w:marRight w:val="0"/>
      <w:marTop w:val="0"/>
      <w:marBottom w:val="0"/>
      <w:divBdr>
        <w:top w:val="none" w:sz="0" w:space="0" w:color="auto"/>
        <w:left w:val="none" w:sz="0" w:space="0" w:color="auto"/>
        <w:bottom w:val="none" w:sz="0" w:space="0" w:color="auto"/>
        <w:right w:val="none" w:sz="0" w:space="0" w:color="auto"/>
      </w:divBdr>
    </w:div>
    <w:div w:id="214318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462</Words>
  <Characters>2640</Characters>
  <Application>Microsoft Office Word</Application>
  <DocSecurity>0</DocSecurity>
  <Lines>22</Lines>
  <Paragraphs>6</Paragraphs>
  <ScaleCrop>false</ScaleCrop>
  <Company>微软中国</Company>
  <LinksUpToDate>false</LinksUpToDate>
  <CharactersWithSpaces>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济安金信新基金介绍</dc:title>
  <dc:creator>微软用户</dc:creator>
  <cp:lastModifiedBy>crazy</cp:lastModifiedBy>
  <cp:revision>30</cp:revision>
  <cp:lastPrinted>2012-10-29T02:59:00Z</cp:lastPrinted>
  <dcterms:created xsi:type="dcterms:W3CDTF">2012-11-09T08:01:00Z</dcterms:created>
  <dcterms:modified xsi:type="dcterms:W3CDTF">2012-11-12T03:03:00Z</dcterms:modified>
</cp:coreProperties>
</file>