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000" w:rsidRPr="00412A47" w:rsidRDefault="00A70401" w:rsidP="00B10000">
      <w:pPr>
        <w:widowControl/>
        <w:spacing w:after="120" w:line="240" w:lineRule="exact"/>
        <w:ind w:left="3430"/>
        <w:rPr>
          <w:rFonts w:ascii="Arial" w:eastAsia="KaiTi_GB2312" w:hAnsi="Arial" w:cs="Times New Roman"/>
          <w:b/>
          <w:bCs/>
          <w:color w:val="0070C0"/>
          <w:kern w:val="0"/>
          <w:sz w:val="24"/>
          <w:szCs w:val="20"/>
          <w:lang w:val="en-GB"/>
        </w:rPr>
      </w:pPr>
      <w:r w:rsidRPr="00412A47">
        <w:rPr>
          <w:rFonts w:ascii="Arial" w:eastAsia="KaiTi_GB2312" w:hAnsi="Arial" w:cs="Times New Roman" w:hint="eastAsia"/>
          <w:b/>
          <w:bCs/>
          <w:color w:val="0070C0"/>
          <w:kern w:val="0"/>
          <w:sz w:val="24"/>
          <w:szCs w:val="20"/>
          <w:lang w:val="en-GB"/>
        </w:rPr>
        <w:t>导语</w:t>
      </w:r>
    </w:p>
    <w:p w:rsidR="002753B7" w:rsidRPr="003A5DC1" w:rsidRDefault="002753B7" w:rsidP="007F585F">
      <w:pPr>
        <w:pStyle w:val="ab"/>
        <w:numPr>
          <w:ilvl w:val="4"/>
          <w:numId w:val="1"/>
        </w:numPr>
        <w:spacing w:after="163"/>
        <w:rPr>
          <w:rFonts w:eastAsia="KaiTi_GB2312" w:hint="eastAsia"/>
          <w:b/>
          <w:color w:val="auto"/>
        </w:rPr>
      </w:pPr>
      <w:r w:rsidRPr="003A5DC1">
        <w:rPr>
          <w:rFonts w:eastAsia="KaiTi_GB2312" w:hint="eastAsia"/>
          <w:b/>
          <w:color w:val="auto"/>
        </w:rPr>
        <w:t>风险资产吸引力不断上升，全球资金流动继续呈现从债券资产流向风险资产。新兴市场将分化，综合比较经济增长潜力及估值等因素，</w:t>
      </w:r>
      <w:r w:rsidRPr="003A5DC1">
        <w:rPr>
          <w:rFonts w:eastAsia="KaiTi_GB2312"/>
          <w:b/>
          <w:color w:val="auto"/>
        </w:rPr>
        <w:t>A</w:t>
      </w:r>
      <w:r w:rsidRPr="003A5DC1">
        <w:rPr>
          <w:rFonts w:eastAsia="KaiTi_GB2312" w:hint="eastAsia"/>
          <w:b/>
          <w:color w:val="auto"/>
        </w:rPr>
        <w:t>股市场中期具有相对配置价值。</w:t>
      </w:r>
    </w:p>
    <w:p w:rsidR="002753B7" w:rsidRPr="003A5DC1" w:rsidRDefault="002753B7" w:rsidP="007F585F">
      <w:pPr>
        <w:pStyle w:val="ab"/>
        <w:numPr>
          <w:ilvl w:val="4"/>
          <w:numId w:val="1"/>
        </w:numPr>
        <w:spacing w:after="163"/>
        <w:rPr>
          <w:rFonts w:eastAsia="KaiTi_GB2312" w:hint="eastAsia"/>
          <w:b/>
          <w:color w:val="auto"/>
        </w:rPr>
      </w:pPr>
      <w:r w:rsidRPr="003A5DC1">
        <w:rPr>
          <w:rFonts w:eastAsia="KaiTi_GB2312" w:hint="eastAsia"/>
          <w:b/>
          <w:color w:val="auto"/>
        </w:rPr>
        <w:t>国内宏观经济总体保持平稳，下滑幅度预计相对温和；市场流动性总体保持中性偏紧，但较前或略有改善，尽管幅度可能有限；改革为市场注入驱动力，但相关主题的短期投资价值已有所透支；新股发行体制改革及优先股推出虽长期利于市场，但短期或对股指形成压制，尤其冲击估值偏高的中小市值股票。综合来看，阶段</w:t>
      </w:r>
      <w:r w:rsidRPr="003A5DC1">
        <w:rPr>
          <w:rFonts w:eastAsia="KaiTi_GB2312"/>
          <w:b/>
          <w:color w:val="auto"/>
        </w:rPr>
        <w:t>A</w:t>
      </w:r>
      <w:r w:rsidRPr="003A5DC1">
        <w:rPr>
          <w:rFonts w:eastAsia="KaiTi_GB2312" w:hint="eastAsia"/>
          <w:b/>
          <w:color w:val="auto"/>
        </w:rPr>
        <w:t>股市场需</w:t>
      </w:r>
      <w:r w:rsidR="003A5DC1">
        <w:rPr>
          <w:rFonts w:eastAsia="KaiTi_GB2312" w:hint="eastAsia"/>
          <w:b/>
          <w:color w:val="auto"/>
        </w:rPr>
        <w:t>适当</w:t>
      </w:r>
      <w:r w:rsidRPr="003A5DC1">
        <w:rPr>
          <w:rFonts w:eastAsia="KaiTi_GB2312" w:hint="eastAsia"/>
          <w:b/>
          <w:color w:val="auto"/>
        </w:rPr>
        <w:t>注意风险控制。</w:t>
      </w:r>
    </w:p>
    <w:p w:rsidR="00B10000" w:rsidRPr="003A5DC1" w:rsidRDefault="006312B0" w:rsidP="007F585F">
      <w:pPr>
        <w:pStyle w:val="ab"/>
        <w:numPr>
          <w:ilvl w:val="4"/>
          <w:numId w:val="1"/>
        </w:numPr>
        <w:spacing w:after="163"/>
        <w:rPr>
          <w:rFonts w:eastAsia="KaiTi_GB2312"/>
          <w:b/>
          <w:color w:val="auto"/>
        </w:rPr>
      </w:pPr>
      <w:r w:rsidRPr="003A5DC1">
        <w:rPr>
          <w:rFonts w:eastAsia="KaiTi_GB2312" w:hint="eastAsia"/>
          <w:b/>
          <w:color w:val="auto"/>
        </w:rPr>
        <w:t>12</w:t>
      </w:r>
      <w:r w:rsidR="008E7BD6">
        <w:rPr>
          <w:rFonts w:eastAsia="KaiTi_GB2312" w:hint="eastAsia"/>
          <w:b/>
          <w:color w:val="auto"/>
        </w:rPr>
        <w:t>月</w:t>
      </w:r>
      <w:r w:rsidR="002753B7" w:rsidRPr="003A5DC1">
        <w:rPr>
          <w:rFonts w:eastAsia="KaiTi_GB2312" w:hint="eastAsia"/>
          <w:b/>
          <w:color w:val="auto"/>
        </w:rPr>
        <w:t>基金投资建议重点回避估值风险，增配估值</w:t>
      </w:r>
      <w:r w:rsidRPr="003A5DC1">
        <w:rPr>
          <w:rFonts w:eastAsia="KaiTi_GB2312" w:hint="eastAsia"/>
          <w:b/>
          <w:color w:val="auto"/>
        </w:rPr>
        <w:t>具有</w:t>
      </w:r>
      <w:r w:rsidR="002753B7" w:rsidRPr="003A5DC1">
        <w:rPr>
          <w:rFonts w:eastAsia="KaiTi_GB2312" w:hint="eastAsia"/>
          <w:b/>
          <w:color w:val="auto"/>
        </w:rPr>
        <w:t>安全性、</w:t>
      </w:r>
      <w:r w:rsidR="008E7BD6">
        <w:rPr>
          <w:rFonts w:eastAsia="KaiTi_GB2312" w:hint="eastAsia"/>
          <w:b/>
          <w:color w:val="auto"/>
        </w:rPr>
        <w:t>且</w:t>
      </w:r>
      <w:r w:rsidR="002753B7" w:rsidRPr="003A5DC1">
        <w:rPr>
          <w:rFonts w:eastAsia="KaiTi_GB2312" w:hint="eastAsia"/>
          <w:b/>
          <w:color w:val="auto"/>
        </w:rPr>
        <w:t>受益</w:t>
      </w:r>
      <w:r w:rsidR="003A5DC1" w:rsidRPr="003A5DC1">
        <w:rPr>
          <w:rFonts w:eastAsia="KaiTi_GB2312" w:hint="eastAsia"/>
          <w:b/>
          <w:color w:val="auto"/>
        </w:rPr>
        <w:t>新股发行及优先股试点意见</w:t>
      </w:r>
      <w:r w:rsidR="002753B7" w:rsidRPr="003A5DC1">
        <w:rPr>
          <w:rFonts w:eastAsia="KaiTi_GB2312" w:hint="eastAsia"/>
          <w:b/>
          <w:color w:val="auto"/>
        </w:rPr>
        <w:t>的蓝筹风格</w:t>
      </w:r>
      <w:r w:rsidR="003A5DC1" w:rsidRPr="003A5DC1">
        <w:rPr>
          <w:rFonts w:eastAsia="KaiTi_GB2312" w:hint="eastAsia"/>
          <w:b/>
          <w:color w:val="auto"/>
        </w:rPr>
        <w:t>基金，</w:t>
      </w:r>
      <w:r w:rsidR="00B53EC5" w:rsidRPr="003A5DC1">
        <w:rPr>
          <w:rFonts w:eastAsia="KaiTi_GB2312" w:hint="eastAsia"/>
          <w:b/>
          <w:color w:val="auto"/>
        </w:rPr>
        <w:t>重点推荐南方隆元产业主题、兴全商业模式、博时主题行业、中欧价值发现</w:t>
      </w:r>
      <w:r w:rsidR="003A5DC1" w:rsidRPr="003A5DC1">
        <w:rPr>
          <w:rFonts w:eastAsia="KaiTi_GB2312" w:hint="eastAsia"/>
          <w:b/>
          <w:color w:val="auto"/>
        </w:rPr>
        <w:t>、汇添富社会责任、嘉实增长</w:t>
      </w:r>
      <w:r w:rsidR="00B53EC5" w:rsidRPr="003A5DC1">
        <w:rPr>
          <w:rFonts w:eastAsia="KaiTi_GB2312" w:hint="eastAsia"/>
          <w:b/>
          <w:color w:val="auto"/>
        </w:rPr>
        <w:t>等</w:t>
      </w:r>
      <w:r w:rsidR="003A5DC1" w:rsidRPr="003A5DC1">
        <w:rPr>
          <w:rFonts w:eastAsia="KaiTi_GB2312" w:hint="eastAsia"/>
          <w:b/>
          <w:color w:val="auto"/>
        </w:rPr>
        <w:t>。</w:t>
      </w:r>
    </w:p>
    <w:p w:rsidR="00A70401" w:rsidRPr="00412A47" w:rsidRDefault="00D11580" w:rsidP="00A70401">
      <w:pPr>
        <w:widowControl/>
        <w:spacing w:after="120" w:line="240" w:lineRule="exact"/>
        <w:ind w:left="3430"/>
        <w:rPr>
          <w:rFonts w:ascii="Arial" w:eastAsia="KaiTi_GB2312" w:hAnsi="Arial" w:cs="Times New Roman"/>
          <w:b/>
          <w:bCs/>
          <w:color w:val="0070C0"/>
          <w:kern w:val="0"/>
          <w:sz w:val="24"/>
          <w:szCs w:val="20"/>
          <w:lang w:val="en-GB"/>
        </w:rPr>
      </w:pPr>
      <w:r w:rsidRPr="00412A47">
        <w:rPr>
          <w:rFonts w:ascii="Arial" w:eastAsia="KaiTi_GB2312" w:hAnsi="Arial" w:cs="Times New Roman" w:hint="eastAsia"/>
          <w:b/>
          <w:bCs/>
          <w:color w:val="0070C0"/>
          <w:kern w:val="0"/>
          <w:sz w:val="24"/>
          <w:szCs w:val="20"/>
          <w:lang w:val="en-GB"/>
        </w:rPr>
        <w:t>全球</w:t>
      </w:r>
      <w:r w:rsidR="009F34EC" w:rsidRPr="00412A47">
        <w:rPr>
          <w:rFonts w:ascii="Arial" w:eastAsia="KaiTi_GB2312" w:hAnsi="Arial" w:cs="Times New Roman" w:hint="eastAsia"/>
          <w:b/>
          <w:bCs/>
          <w:color w:val="0070C0"/>
          <w:kern w:val="0"/>
          <w:sz w:val="24"/>
          <w:szCs w:val="20"/>
          <w:lang w:val="en-GB"/>
        </w:rPr>
        <w:t>市场</w:t>
      </w:r>
      <w:r w:rsidRPr="00412A47">
        <w:rPr>
          <w:rFonts w:ascii="Arial" w:eastAsia="KaiTi_GB2312" w:hAnsi="Arial" w:cs="Times New Roman" w:hint="eastAsia"/>
          <w:b/>
          <w:bCs/>
          <w:color w:val="0070C0"/>
          <w:kern w:val="0"/>
          <w:sz w:val="24"/>
          <w:szCs w:val="20"/>
          <w:lang w:val="en-GB"/>
        </w:rPr>
        <w:t>比较</w:t>
      </w:r>
      <w:r w:rsidR="00434A50" w:rsidRPr="00412A47">
        <w:rPr>
          <w:rFonts w:ascii="Arial" w:eastAsia="KaiTi_GB2312" w:hAnsi="Arial" w:cs="Times New Roman" w:hint="eastAsia"/>
          <w:b/>
          <w:bCs/>
          <w:color w:val="0070C0"/>
          <w:kern w:val="0"/>
          <w:sz w:val="24"/>
          <w:szCs w:val="20"/>
          <w:lang w:val="en-GB"/>
        </w:rPr>
        <w:t>：</w:t>
      </w:r>
      <w:r w:rsidR="004E7A1E" w:rsidRPr="00412A47">
        <w:rPr>
          <w:rFonts w:ascii="Arial" w:eastAsia="KaiTi_GB2312" w:hAnsi="Arial" w:cs="Times New Roman" w:hint="eastAsia"/>
          <w:b/>
          <w:bCs/>
          <w:color w:val="0070C0"/>
          <w:kern w:val="0"/>
          <w:sz w:val="24"/>
          <w:szCs w:val="20"/>
          <w:lang w:val="en-GB"/>
        </w:rPr>
        <w:t>A</w:t>
      </w:r>
      <w:r w:rsidR="004E7A1E" w:rsidRPr="00412A47">
        <w:rPr>
          <w:rFonts w:ascii="Arial" w:eastAsia="KaiTi_GB2312" w:hAnsi="Arial" w:cs="Times New Roman" w:hint="eastAsia"/>
          <w:b/>
          <w:bCs/>
          <w:color w:val="0070C0"/>
          <w:kern w:val="0"/>
          <w:sz w:val="24"/>
          <w:szCs w:val="20"/>
          <w:lang w:val="en-GB"/>
        </w:rPr>
        <w:t>股具有</w:t>
      </w:r>
      <w:r w:rsidR="000E6028" w:rsidRPr="00412A47">
        <w:rPr>
          <w:rFonts w:ascii="Arial" w:eastAsia="KaiTi_GB2312" w:hAnsi="Arial" w:cs="Times New Roman" w:hint="eastAsia"/>
          <w:b/>
          <w:bCs/>
          <w:color w:val="0070C0"/>
          <w:kern w:val="0"/>
          <w:sz w:val="24"/>
          <w:szCs w:val="20"/>
          <w:lang w:val="en-GB"/>
        </w:rPr>
        <w:t>相对</w:t>
      </w:r>
      <w:r w:rsidR="004E7A1E" w:rsidRPr="00412A47">
        <w:rPr>
          <w:rFonts w:ascii="Arial" w:eastAsia="KaiTi_GB2312" w:hAnsi="Arial" w:cs="Times New Roman" w:hint="eastAsia"/>
          <w:b/>
          <w:bCs/>
          <w:color w:val="0070C0"/>
          <w:kern w:val="0"/>
          <w:sz w:val="24"/>
          <w:szCs w:val="20"/>
          <w:lang w:val="en-GB"/>
        </w:rPr>
        <w:t>配置价值</w:t>
      </w:r>
    </w:p>
    <w:p w:rsidR="00793DA2" w:rsidRPr="00412A47" w:rsidRDefault="000E6028" w:rsidP="00434A50">
      <w:pPr>
        <w:pStyle w:val="ab"/>
        <w:numPr>
          <w:ilvl w:val="4"/>
          <w:numId w:val="1"/>
        </w:numPr>
        <w:spacing w:after="163"/>
        <w:rPr>
          <w:rFonts w:eastAsia="KaiTi_GB2312"/>
          <w:color w:val="auto"/>
        </w:rPr>
      </w:pPr>
      <w:r w:rsidRPr="00412A47">
        <w:rPr>
          <w:rFonts w:eastAsia="KaiTi_GB2312" w:hint="eastAsia"/>
          <w:color w:val="auto"/>
        </w:rPr>
        <w:t>风险资产吸引力不断上升，</w:t>
      </w:r>
      <w:r w:rsidR="00D47E17" w:rsidRPr="00412A47">
        <w:rPr>
          <w:rFonts w:eastAsia="KaiTi_GB2312" w:hint="eastAsia"/>
          <w:color w:val="auto"/>
        </w:rPr>
        <w:t>全球资金流动继续呈现从债券资产流向风险资产</w:t>
      </w:r>
      <w:r w:rsidRPr="00412A47">
        <w:rPr>
          <w:rFonts w:eastAsia="KaiTi_GB2312" w:hint="eastAsia"/>
          <w:color w:val="auto"/>
        </w:rPr>
        <w:t>。综合比较经济增长潜力及估值等因素，</w:t>
      </w:r>
      <w:r w:rsidRPr="00412A47">
        <w:rPr>
          <w:rFonts w:eastAsia="KaiTi_GB2312" w:hint="eastAsia"/>
          <w:color w:val="auto"/>
        </w:rPr>
        <w:t>A</w:t>
      </w:r>
      <w:r w:rsidRPr="00412A47">
        <w:rPr>
          <w:rFonts w:eastAsia="KaiTi_GB2312" w:hint="eastAsia"/>
          <w:color w:val="auto"/>
        </w:rPr>
        <w:t>股市场中期具有相对配置价值。</w:t>
      </w:r>
    </w:p>
    <w:p w:rsidR="00A54EAC" w:rsidRPr="00412A47" w:rsidRDefault="00A54EAC" w:rsidP="00A54EAC">
      <w:pPr>
        <w:pStyle w:val="ab"/>
        <w:numPr>
          <w:ilvl w:val="5"/>
          <w:numId w:val="2"/>
        </w:numPr>
        <w:spacing w:after="163"/>
        <w:ind w:left="4140" w:hanging="369"/>
        <w:rPr>
          <w:rFonts w:eastAsia="KaiTi_GB2312"/>
          <w:color w:val="auto"/>
        </w:rPr>
      </w:pPr>
      <w:r w:rsidRPr="00412A47">
        <w:rPr>
          <w:rFonts w:eastAsia="KaiTi_GB2312" w:hint="eastAsia"/>
          <w:color w:val="auto"/>
        </w:rPr>
        <w:t>美国经济经过政府停摆事件的短暂冲击后，重回温和复苏轨道，受益于圣诞节对消费的拉动，美国经济</w:t>
      </w:r>
      <w:r w:rsidRPr="00412A47">
        <w:rPr>
          <w:rFonts w:eastAsia="KaiTi_GB2312" w:hint="eastAsia"/>
          <w:color w:val="auto"/>
        </w:rPr>
        <w:t>12</w:t>
      </w:r>
      <w:r w:rsidRPr="00412A47">
        <w:rPr>
          <w:rFonts w:eastAsia="KaiTi_GB2312" w:hint="eastAsia"/>
          <w:color w:val="auto"/>
        </w:rPr>
        <w:t>月份仍将保持增长。</w:t>
      </w:r>
      <w:r w:rsidRPr="00412A47">
        <w:rPr>
          <w:rFonts w:eastAsia="KaiTi_GB2312" w:hint="eastAsia"/>
          <w:color w:val="auto"/>
        </w:rPr>
        <w:t>QE</w:t>
      </w:r>
      <w:r w:rsidRPr="00412A47">
        <w:rPr>
          <w:rFonts w:eastAsia="KaiTi_GB2312" w:hint="eastAsia"/>
          <w:color w:val="auto"/>
        </w:rPr>
        <w:t>退出大概率延迟到明年，且美国市场对于</w:t>
      </w:r>
      <w:r w:rsidRPr="00412A47">
        <w:rPr>
          <w:rFonts w:eastAsia="KaiTi_GB2312" w:hint="eastAsia"/>
          <w:color w:val="auto"/>
        </w:rPr>
        <w:t>QE</w:t>
      </w:r>
      <w:r w:rsidRPr="00412A47">
        <w:rPr>
          <w:rFonts w:eastAsia="KaiTi_GB2312" w:hint="eastAsia"/>
          <w:color w:val="auto"/>
        </w:rPr>
        <w:t>退出的不利冲击正在逐步消化。在基本面</w:t>
      </w:r>
      <w:r w:rsidRPr="00412A47">
        <w:rPr>
          <w:rFonts w:eastAsia="KaiTi_GB2312"/>
          <w:color w:val="auto"/>
        </w:rPr>
        <w:t>和流动性的双重支撑下，美股仍是现阶段具有优势风险收益配比的投资标的。</w:t>
      </w:r>
    </w:p>
    <w:p w:rsidR="00A54EAC" w:rsidRPr="00412A47" w:rsidRDefault="00A54EAC" w:rsidP="00A54EAC">
      <w:pPr>
        <w:pStyle w:val="ab"/>
        <w:numPr>
          <w:ilvl w:val="5"/>
          <w:numId w:val="2"/>
        </w:numPr>
        <w:spacing w:after="163"/>
        <w:ind w:left="4140" w:hanging="369"/>
        <w:rPr>
          <w:rFonts w:eastAsia="KaiTi_GB2312"/>
          <w:color w:val="auto"/>
        </w:rPr>
      </w:pPr>
      <w:r w:rsidRPr="00412A47">
        <w:rPr>
          <w:rFonts w:eastAsia="KaiTi_GB2312" w:hint="eastAsia"/>
          <w:color w:val="auto"/>
        </w:rPr>
        <w:t>欧洲市场在过去长达五个月的时间内持续获得资金流入背景下，资金推动效用或将有所降低。</w:t>
      </w:r>
    </w:p>
    <w:p w:rsidR="00A54EAC" w:rsidRPr="00412A47" w:rsidRDefault="00A54EAC" w:rsidP="00A54EAC">
      <w:pPr>
        <w:pStyle w:val="ab"/>
        <w:numPr>
          <w:ilvl w:val="5"/>
          <w:numId w:val="2"/>
        </w:numPr>
        <w:spacing w:after="163"/>
        <w:ind w:left="4140" w:hanging="369"/>
        <w:rPr>
          <w:rFonts w:eastAsia="KaiTi_GB2312"/>
          <w:color w:val="auto"/>
        </w:rPr>
      </w:pPr>
      <w:r w:rsidRPr="00412A47">
        <w:rPr>
          <w:rFonts w:eastAsia="KaiTi_GB2312" w:hint="eastAsia"/>
          <w:color w:val="auto"/>
        </w:rPr>
        <w:t>新兴市场中短期将总体遭受持续资本流出冲击，长期则有望受益发达市场经济增长。考虑到美联储对于</w:t>
      </w:r>
      <w:r w:rsidRPr="00412A47">
        <w:rPr>
          <w:rFonts w:eastAsia="KaiTi_GB2312" w:hint="eastAsia"/>
          <w:color w:val="auto"/>
        </w:rPr>
        <w:t>QE</w:t>
      </w:r>
      <w:r w:rsidRPr="00412A47">
        <w:rPr>
          <w:rFonts w:eastAsia="KaiTi_GB2312" w:hint="eastAsia"/>
          <w:color w:val="auto"/>
        </w:rPr>
        <w:t>退出将采取循序渐进方式，新兴市场将分化，经济基本面较好、尤其是其中估值相对合理的市场（如</w:t>
      </w:r>
      <w:r w:rsidRPr="00412A47">
        <w:rPr>
          <w:rFonts w:eastAsia="KaiTi_GB2312" w:hint="eastAsia"/>
          <w:color w:val="auto"/>
        </w:rPr>
        <w:t>A</w:t>
      </w:r>
      <w:r w:rsidRPr="00412A47">
        <w:rPr>
          <w:rFonts w:eastAsia="KaiTi_GB2312" w:hint="eastAsia"/>
          <w:color w:val="auto"/>
        </w:rPr>
        <w:t>股市场、香港市场、俄罗斯市场），配置价值相对突出。</w:t>
      </w:r>
      <w:r w:rsidRPr="00412A47">
        <w:rPr>
          <w:rFonts w:eastAsia="KaiTi_GB2312" w:hint="eastAsia"/>
          <w:color w:val="auto"/>
        </w:rPr>
        <w:t>11</w:t>
      </w:r>
      <w:r w:rsidRPr="00412A47">
        <w:rPr>
          <w:rFonts w:eastAsia="KaiTi_GB2312" w:hint="eastAsia"/>
          <w:color w:val="auto"/>
        </w:rPr>
        <w:t>月份</w:t>
      </w:r>
      <w:r w:rsidRPr="00412A47">
        <w:rPr>
          <w:rFonts w:eastAsia="KaiTi_GB2312" w:hint="eastAsia"/>
          <w:color w:val="auto"/>
        </w:rPr>
        <w:t>A</w:t>
      </w:r>
      <w:r w:rsidRPr="00412A47">
        <w:rPr>
          <w:rFonts w:eastAsia="KaiTi_GB2312" w:hint="eastAsia"/>
          <w:color w:val="auto"/>
        </w:rPr>
        <w:t>股市场的上涨，其中不乏</w:t>
      </w:r>
      <w:r w:rsidRPr="00412A47">
        <w:rPr>
          <w:rFonts w:eastAsia="KaiTi_GB2312" w:hint="eastAsia"/>
          <w:color w:val="auto"/>
        </w:rPr>
        <w:t>QFII</w:t>
      </w:r>
      <w:r w:rsidRPr="00412A47">
        <w:rPr>
          <w:rFonts w:eastAsia="KaiTi_GB2312" w:hint="eastAsia"/>
          <w:color w:val="auto"/>
        </w:rPr>
        <w:t>等海外资金的贡献。</w:t>
      </w:r>
    </w:p>
    <w:p w:rsidR="00256A3A" w:rsidRPr="00412A47" w:rsidRDefault="00A75EA0" w:rsidP="00E22A18">
      <w:pPr>
        <w:widowControl/>
        <w:spacing w:after="120" w:line="240" w:lineRule="exact"/>
        <w:ind w:left="3430"/>
        <w:rPr>
          <w:rFonts w:ascii="Arial" w:eastAsia="KaiTi_GB2312" w:hAnsi="Arial" w:cs="Times New Roman"/>
          <w:b/>
          <w:bCs/>
          <w:color w:val="0070C0"/>
          <w:kern w:val="0"/>
          <w:sz w:val="24"/>
          <w:szCs w:val="20"/>
          <w:lang w:val="en-GB"/>
        </w:rPr>
      </w:pPr>
      <w:r w:rsidRPr="00412A47">
        <w:rPr>
          <w:rFonts w:ascii="Arial" w:eastAsia="KaiTi_GB2312" w:hAnsi="Arial" w:cs="Times New Roman" w:hint="eastAsia"/>
          <w:b/>
          <w:bCs/>
          <w:color w:val="0070C0"/>
          <w:kern w:val="0"/>
          <w:sz w:val="24"/>
          <w:szCs w:val="20"/>
          <w:lang w:val="en-GB"/>
        </w:rPr>
        <w:t>聚焦</w:t>
      </w:r>
      <w:r w:rsidR="00E22A18" w:rsidRPr="00412A47">
        <w:rPr>
          <w:rFonts w:ascii="Arial" w:eastAsia="KaiTi_GB2312" w:hAnsi="Arial" w:cs="Times New Roman" w:hint="eastAsia"/>
          <w:b/>
          <w:bCs/>
          <w:color w:val="0070C0"/>
          <w:kern w:val="0"/>
          <w:sz w:val="24"/>
          <w:szCs w:val="20"/>
          <w:lang w:val="en-GB"/>
        </w:rPr>
        <w:t>国内市场：</w:t>
      </w:r>
      <w:r w:rsidR="008E4EA9" w:rsidRPr="00412A47">
        <w:rPr>
          <w:rFonts w:ascii="Arial" w:eastAsia="KaiTi_GB2312" w:hAnsi="Arial" w:cs="Times New Roman" w:hint="eastAsia"/>
          <w:b/>
          <w:bCs/>
          <w:color w:val="0070C0"/>
          <w:kern w:val="0"/>
          <w:sz w:val="24"/>
          <w:szCs w:val="20"/>
          <w:lang w:val="en-GB"/>
        </w:rPr>
        <w:t>短期需防范高估值风险</w:t>
      </w:r>
    </w:p>
    <w:p w:rsidR="00D63D2F" w:rsidRPr="00FD1230" w:rsidRDefault="00C770FC" w:rsidP="00FD2A05">
      <w:pPr>
        <w:pStyle w:val="ab"/>
        <w:numPr>
          <w:ilvl w:val="4"/>
          <w:numId w:val="1"/>
        </w:numPr>
        <w:spacing w:after="163"/>
        <w:rPr>
          <w:rFonts w:eastAsia="KaiTi_GB2312"/>
          <w:color w:val="auto"/>
        </w:rPr>
      </w:pPr>
      <w:r w:rsidRPr="00FD1230">
        <w:rPr>
          <w:rFonts w:eastAsia="KaiTi_GB2312" w:hint="eastAsia"/>
          <w:color w:val="auto"/>
        </w:rPr>
        <w:t>国内</w:t>
      </w:r>
      <w:r w:rsidR="00643301" w:rsidRPr="00FD1230">
        <w:rPr>
          <w:rFonts w:eastAsia="KaiTi_GB2312" w:hint="eastAsia"/>
          <w:color w:val="auto"/>
        </w:rPr>
        <w:t>宏观经济</w:t>
      </w:r>
      <w:r w:rsidR="003E48A5" w:rsidRPr="00FD1230">
        <w:rPr>
          <w:rFonts w:eastAsia="KaiTi_GB2312" w:hint="eastAsia"/>
          <w:color w:val="auto"/>
        </w:rPr>
        <w:t>总体保持平稳，下滑幅度预计相对温和；市场流动性总体保持中性偏紧，但</w:t>
      </w:r>
      <w:r w:rsidR="00B610A4" w:rsidRPr="00FD1230">
        <w:rPr>
          <w:rFonts w:eastAsia="KaiTi_GB2312" w:hint="eastAsia"/>
          <w:color w:val="auto"/>
        </w:rPr>
        <w:t>较前或略有改善，尽管幅度可能有限；</w:t>
      </w:r>
      <w:r w:rsidR="00916D40" w:rsidRPr="00FD1230">
        <w:rPr>
          <w:rFonts w:eastAsia="KaiTi_GB2312" w:hint="eastAsia"/>
          <w:color w:val="auto"/>
        </w:rPr>
        <w:t>改革为市场注入驱动力，但相关主题的短期投资价值已有所透支；</w:t>
      </w:r>
      <w:r w:rsidR="00E84E3B" w:rsidRPr="00FD1230">
        <w:rPr>
          <w:rFonts w:eastAsia="KaiTi_GB2312" w:hint="eastAsia"/>
          <w:color w:val="auto"/>
        </w:rPr>
        <w:t>新股发行体制改革</w:t>
      </w:r>
      <w:r w:rsidR="0020734D" w:rsidRPr="00FD1230">
        <w:rPr>
          <w:rFonts w:eastAsia="KaiTi_GB2312" w:hint="eastAsia"/>
          <w:color w:val="auto"/>
        </w:rPr>
        <w:t>及优先股推出</w:t>
      </w:r>
      <w:r w:rsidR="00E84E3B" w:rsidRPr="00FD1230">
        <w:rPr>
          <w:rFonts w:eastAsia="KaiTi_GB2312" w:hint="eastAsia"/>
          <w:color w:val="auto"/>
        </w:rPr>
        <w:t>虽长期利于市场，但短期或对股指形成压制</w:t>
      </w:r>
      <w:r w:rsidR="0020734D" w:rsidRPr="00FD1230">
        <w:rPr>
          <w:rFonts w:eastAsia="KaiTi_GB2312" w:hint="eastAsia"/>
          <w:color w:val="auto"/>
        </w:rPr>
        <w:t>，尤其冲击估值偏高的中小市值股票。综合来看，</w:t>
      </w:r>
      <w:r w:rsidR="00CA2DBF" w:rsidRPr="00FD1230">
        <w:rPr>
          <w:rFonts w:eastAsia="KaiTi_GB2312" w:hint="eastAsia"/>
          <w:color w:val="auto"/>
        </w:rPr>
        <w:t>12</w:t>
      </w:r>
      <w:r w:rsidR="00CA2DBF" w:rsidRPr="00FD1230">
        <w:rPr>
          <w:rFonts w:eastAsia="KaiTi_GB2312" w:hint="eastAsia"/>
          <w:color w:val="auto"/>
        </w:rPr>
        <w:t>月</w:t>
      </w:r>
      <w:r w:rsidR="00CA2DBF" w:rsidRPr="00FD1230">
        <w:rPr>
          <w:rFonts w:eastAsia="KaiTi_GB2312" w:hint="eastAsia"/>
          <w:color w:val="auto"/>
        </w:rPr>
        <w:t>A</w:t>
      </w:r>
      <w:r w:rsidR="00CA2DBF" w:rsidRPr="00FD1230">
        <w:rPr>
          <w:rFonts w:eastAsia="KaiTi_GB2312" w:hint="eastAsia"/>
          <w:color w:val="auto"/>
        </w:rPr>
        <w:t>股市场</w:t>
      </w:r>
      <w:r w:rsidR="00887026" w:rsidRPr="00FD1230">
        <w:rPr>
          <w:rFonts w:eastAsia="KaiTi_GB2312" w:hint="eastAsia"/>
          <w:color w:val="auto"/>
        </w:rPr>
        <w:t>需注意风险控制，</w:t>
      </w:r>
      <w:r w:rsidR="008903BA" w:rsidRPr="00FD1230">
        <w:rPr>
          <w:rFonts w:eastAsia="KaiTi_GB2312" w:hint="eastAsia"/>
          <w:color w:val="auto"/>
        </w:rPr>
        <w:t>建议</w:t>
      </w:r>
      <w:r w:rsidR="00887026" w:rsidRPr="00FD1230">
        <w:rPr>
          <w:rFonts w:eastAsia="KaiTi_GB2312" w:hint="eastAsia"/>
          <w:color w:val="auto"/>
        </w:rPr>
        <w:t>侧重</w:t>
      </w:r>
      <w:r w:rsidR="008903BA" w:rsidRPr="00FD1230">
        <w:rPr>
          <w:rFonts w:eastAsia="KaiTi_GB2312" w:hint="eastAsia"/>
          <w:color w:val="auto"/>
        </w:rPr>
        <w:t>在</w:t>
      </w:r>
      <w:r w:rsidR="00887026" w:rsidRPr="00FD1230">
        <w:rPr>
          <w:rFonts w:eastAsia="KaiTi_GB2312" w:hint="eastAsia"/>
          <w:color w:val="auto"/>
        </w:rPr>
        <w:t>估值相对较低</w:t>
      </w:r>
      <w:r w:rsidR="008903BA" w:rsidRPr="00FD1230">
        <w:rPr>
          <w:rFonts w:eastAsia="KaiTi_GB2312" w:hint="eastAsia"/>
          <w:color w:val="auto"/>
        </w:rPr>
        <w:t>、景气度较高或有所改善</w:t>
      </w:r>
      <w:r w:rsidR="00887026" w:rsidRPr="00FD1230">
        <w:rPr>
          <w:rFonts w:eastAsia="KaiTi_GB2312" w:hint="eastAsia"/>
          <w:color w:val="auto"/>
        </w:rPr>
        <w:t>的蓝筹行业。</w:t>
      </w:r>
    </w:p>
    <w:p w:rsidR="00BC5F51" w:rsidRPr="00FD1230" w:rsidRDefault="007E5E08" w:rsidP="000851F8">
      <w:pPr>
        <w:pStyle w:val="ab"/>
        <w:numPr>
          <w:ilvl w:val="5"/>
          <w:numId w:val="2"/>
        </w:numPr>
        <w:spacing w:after="163"/>
        <w:ind w:left="4140" w:hanging="369"/>
        <w:rPr>
          <w:rFonts w:eastAsia="KaiTi_GB2312"/>
          <w:color w:val="auto"/>
        </w:rPr>
      </w:pPr>
      <w:r w:rsidRPr="00FD1230">
        <w:rPr>
          <w:rFonts w:eastAsia="KaiTi_GB2312" w:hint="eastAsia"/>
          <w:color w:val="auto"/>
        </w:rPr>
        <w:t>宏观经济总体</w:t>
      </w:r>
      <w:r w:rsidR="00ED348B" w:rsidRPr="00FD1230">
        <w:rPr>
          <w:rFonts w:eastAsia="KaiTi_GB2312" w:hint="eastAsia"/>
          <w:color w:val="auto"/>
        </w:rPr>
        <w:t>上</w:t>
      </w:r>
      <w:r w:rsidRPr="00FD1230">
        <w:rPr>
          <w:rFonts w:eastAsia="KaiTi_GB2312" w:hint="eastAsia"/>
          <w:color w:val="auto"/>
        </w:rPr>
        <w:t>保持平稳</w:t>
      </w:r>
      <w:r w:rsidR="00865389" w:rsidRPr="00FD1230">
        <w:rPr>
          <w:rFonts w:eastAsia="KaiTi_GB2312" w:hint="eastAsia"/>
          <w:color w:val="auto"/>
        </w:rPr>
        <w:t>。</w:t>
      </w:r>
      <w:r w:rsidR="00B5634D" w:rsidRPr="00FD1230">
        <w:rPr>
          <w:rFonts w:eastAsia="KaiTi_GB2312" w:hint="eastAsia"/>
          <w:color w:val="auto"/>
        </w:rPr>
        <w:t>国家统计局最新数据显示，</w:t>
      </w:r>
      <w:r w:rsidR="00B5634D" w:rsidRPr="00FD1230">
        <w:rPr>
          <w:rFonts w:eastAsia="KaiTi_GB2312" w:hint="eastAsia"/>
          <w:color w:val="auto"/>
        </w:rPr>
        <w:t>11</w:t>
      </w:r>
      <w:r w:rsidR="00B5634D" w:rsidRPr="00FD1230">
        <w:rPr>
          <w:rFonts w:eastAsia="KaiTi_GB2312" w:hint="eastAsia"/>
          <w:color w:val="auto"/>
        </w:rPr>
        <w:t>月中国制造业采购经理指数</w:t>
      </w:r>
      <w:r w:rsidR="00B5634D" w:rsidRPr="00FD1230">
        <w:rPr>
          <w:rFonts w:eastAsia="KaiTi_GB2312" w:hint="eastAsia"/>
          <w:color w:val="auto"/>
        </w:rPr>
        <w:t>(PMI)</w:t>
      </w:r>
      <w:r w:rsidR="00B5634D" w:rsidRPr="00FD1230">
        <w:rPr>
          <w:rFonts w:eastAsia="KaiTi_GB2312" w:hint="eastAsia"/>
          <w:color w:val="auto"/>
        </w:rPr>
        <w:t>为</w:t>
      </w:r>
      <w:r w:rsidR="00B5634D" w:rsidRPr="00FD1230">
        <w:rPr>
          <w:rFonts w:eastAsia="KaiTi_GB2312" w:hint="eastAsia"/>
          <w:color w:val="auto"/>
        </w:rPr>
        <w:t>51.4%</w:t>
      </w:r>
      <w:r w:rsidR="00B5634D" w:rsidRPr="00FD1230">
        <w:rPr>
          <w:rFonts w:eastAsia="KaiTi_GB2312" w:hint="eastAsia"/>
          <w:color w:val="auto"/>
        </w:rPr>
        <w:t>，与上月持平，为</w:t>
      </w:r>
      <w:r w:rsidR="00B5634D" w:rsidRPr="00FD1230">
        <w:rPr>
          <w:rFonts w:eastAsia="KaiTi_GB2312" w:hint="eastAsia"/>
          <w:color w:val="auto"/>
        </w:rPr>
        <w:t>2012</w:t>
      </w:r>
      <w:r w:rsidR="00B5634D" w:rsidRPr="00FD1230">
        <w:rPr>
          <w:rFonts w:eastAsia="KaiTi_GB2312" w:hint="eastAsia"/>
          <w:color w:val="auto"/>
        </w:rPr>
        <w:t>年</w:t>
      </w:r>
      <w:r w:rsidR="00B5634D" w:rsidRPr="00FD1230">
        <w:rPr>
          <w:rFonts w:eastAsia="KaiTi_GB2312" w:hint="eastAsia"/>
          <w:color w:val="auto"/>
        </w:rPr>
        <w:t>5</w:t>
      </w:r>
      <w:r w:rsidR="00B5634D" w:rsidRPr="00FD1230">
        <w:rPr>
          <w:rFonts w:eastAsia="KaiTi_GB2312" w:hint="eastAsia"/>
          <w:color w:val="auto"/>
        </w:rPr>
        <w:t>月以来的高点，连续</w:t>
      </w:r>
      <w:r w:rsidR="00B5634D" w:rsidRPr="00FD1230">
        <w:rPr>
          <w:rFonts w:eastAsia="KaiTi_GB2312" w:hint="eastAsia"/>
          <w:color w:val="auto"/>
        </w:rPr>
        <w:t>14</w:t>
      </w:r>
      <w:r w:rsidR="00B5634D" w:rsidRPr="00FD1230">
        <w:rPr>
          <w:rFonts w:eastAsia="KaiTi_GB2312" w:hint="eastAsia"/>
          <w:color w:val="auto"/>
        </w:rPr>
        <w:t>个月位于临界点以上。</w:t>
      </w:r>
      <w:r w:rsidR="00865389" w:rsidRPr="00FD1230">
        <w:rPr>
          <w:rFonts w:eastAsia="KaiTi_GB2312" w:hint="eastAsia"/>
          <w:color w:val="auto"/>
        </w:rPr>
        <w:t>其中，反应当期生产的生产指数、采购量指数等维持稳定，反应未来预期的新订单指数、原材料库存指数出现小幅回落，企业对未来预期相对谨慎。</w:t>
      </w:r>
      <w:r w:rsidR="00237BD5" w:rsidRPr="00FD1230">
        <w:rPr>
          <w:rFonts w:eastAsia="KaiTi_GB2312" w:hint="eastAsia"/>
          <w:color w:val="auto"/>
        </w:rPr>
        <w:t>大型企业好于中小企业，大型企</w:t>
      </w:r>
      <w:r w:rsidR="00237BD5" w:rsidRPr="00FD1230">
        <w:rPr>
          <w:rFonts w:eastAsia="KaiTi_GB2312" w:hint="eastAsia"/>
          <w:color w:val="auto"/>
        </w:rPr>
        <w:lastRenderedPageBreak/>
        <w:t>业</w:t>
      </w:r>
      <w:r w:rsidR="00237BD5" w:rsidRPr="00FD1230">
        <w:rPr>
          <w:rFonts w:eastAsia="KaiTi_GB2312" w:hint="eastAsia"/>
          <w:color w:val="auto"/>
        </w:rPr>
        <w:t>PMI</w:t>
      </w:r>
      <w:r w:rsidR="00237BD5" w:rsidRPr="00FD1230">
        <w:rPr>
          <w:rFonts w:eastAsia="KaiTi_GB2312" w:hint="eastAsia"/>
          <w:color w:val="auto"/>
        </w:rPr>
        <w:t>为</w:t>
      </w:r>
      <w:r w:rsidR="00237BD5" w:rsidRPr="00FD1230">
        <w:rPr>
          <w:rFonts w:eastAsia="KaiTi_GB2312" w:hint="eastAsia"/>
          <w:color w:val="auto"/>
        </w:rPr>
        <w:t>52.4%</w:t>
      </w:r>
      <w:r w:rsidR="00237BD5" w:rsidRPr="00FD1230">
        <w:rPr>
          <w:rFonts w:eastAsia="KaiTi_GB2312" w:hint="eastAsia"/>
          <w:color w:val="auto"/>
        </w:rPr>
        <w:t>，比上月微升</w:t>
      </w:r>
      <w:r w:rsidR="00237BD5" w:rsidRPr="00FD1230">
        <w:rPr>
          <w:rFonts w:eastAsia="KaiTi_GB2312" w:hint="eastAsia"/>
          <w:color w:val="auto"/>
        </w:rPr>
        <w:t>0.1</w:t>
      </w:r>
      <w:r w:rsidR="00237BD5" w:rsidRPr="00FD1230">
        <w:rPr>
          <w:rFonts w:eastAsia="KaiTi_GB2312" w:hint="eastAsia"/>
          <w:color w:val="auto"/>
        </w:rPr>
        <w:t>个百分点，继续位于临界点以上，为</w:t>
      </w:r>
      <w:r w:rsidR="00237BD5" w:rsidRPr="00FD1230">
        <w:rPr>
          <w:rFonts w:eastAsia="KaiTi_GB2312" w:hint="eastAsia"/>
          <w:color w:val="auto"/>
        </w:rPr>
        <w:t>19</w:t>
      </w:r>
      <w:r w:rsidR="00237BD5" w:rsidRPr="00FD1230">
        <w:rPr>
          <w:rFonts w:eastAsia="KaiTi_GB2312" w:hint="eastAsia"/>
          <w:color w:val="auto"/>
        </w:rPr>
        <w:t>个月以来的最高点；中型企业</w:t>
      </w:r>
      <w:r w:rsidR="00237BD5" w:rsidRPr="00FD1230">
        <w:rPr>
          <w:rFonts w:eastAsia="KaiTi_GB2312" w:hint="eastAsia"/>
          <w:color w:val="auto"/>
        </w:rPr>
        <w:t>PMI</w:t>
      </w:r>
      <w:r w:rsidR="00237BD5" w:rsidRPr="00FD1230">
        <w:rPr>
          <w:rFonts w:eastAsia="KaiTi_GB2312" w:hint="eastAsia"/>
          <w:color w:val="auto"/>
        </w:rPr>
        <w:t>为</w:t>
      </w:r>
      <w:r w:rsidR="00237BD5" w:rsidRPr="00FD1230">
        <w:rPr>
          <w:rFonts w:eastAsia="KaiTi_GB2312" w:hint="eastAsia"/>
          <w:color w:val="auto"/>
        </w:rPr>
        <w:t>50.2%</w:t>
      </w:r>
      <w:r w:rsidR="00237BD5" w:rsidRPr="00FD1230">
        <w:rPr>
          <w:rFonts w:eastAsia="KaiTi_GB2312" w:hint="eastAsia"/>
          <w:color w:val="auto"/>
        </w:rPr>
        <w:t>，与上月持平，连续</w:t>
      </w:r>
      <w:r w:rsidR="00237BD5" w:rsidRPr="00FD1230">
        <w:rPr>
          <w:rFonts w:eastAsia="KaiTi_GB2312" w:hint="eastAsia"/>
          <w:color w:val="auto"/>
        </w:rPr>
        <w:t>2</w:t>
      </w:r>
      <w:r w:rsidR="00237BD5" w:rsidRPr="00FD1230">
        <w:rPr>
          <w:rFonts w:eastAsia="KaiTi_GB2312" w:hint="eastAsia"/>
          <w:color w:val="auto"/>
        </w:rPr>
        <w:t>个月位于临界点以上；小型企业</w:t>
      </w:r>
      <w:r w:rsidR="00237BD5" w:rsidRPr="00FD1230">
        <w:rPr>
          <w:rFonts w:eastAsia="KaiTi_GB2312" w:hint="eastAsia"/>
          <w:color w:val="auto"/>
        </w:rPr>
        <w:t>PMI</w:t>
      </w:r>
      <w:r w:rsidR="00237BD5" w:rsidRPr="00FD1230">
        <w:rPr>
          <w:rFonts w:eastAsia="KaiTi_GB2312" w:hint="eastAsia"/>
          <w:color w:val="auto"/>
        </w:rPr>
        <w:t>为</w:t>
      </w:r>
      <w:r w:rsidR="00237BD5" w:rsidRPr="00FD1230">
        <w:rPr>
          <w:rFonts w:eastAsia="KaiTi_GB2312" w:hint="eastAsia"/>
          <w:color w:val="auto"/>
        </w:rPr>
        <w:t>48.3%</w:t>
      </w:r>
      <w:r w:rsidR="00237BD5" w:rsidRPr="00FD1230">
        <w:rPr>
          <w:rFonts w:eastAsia="KaiTi_GB2312" w:hint="eastAsia"/>
          <w:color w:val="auto"/>
        </w:rPr>
        <w:t>，比上月下降</w:t>
      </w:r>
      <w:r w:rsidR="00237BD5" w:rsidRPr="00FD1230">
        <w:rPr>
          <w:rFonts w:eastAsia="KaiTi_GB2312" w:hint="eastAsia"/>
          <w:color w:val="auto"/>
        </w:rPr>
        <w:t>0.2</w:t>
      </w:r>
      <w:r w:rsidR="00237BD5" w:rsidRPr="00FD1230">
        <w:rPr>
          <w:rFonts w:eastAsia="KaiTi_GB2312" w:hint="eastAsia"/>
          <w:color w:val="auto"/>
        </w:rPr>
        <w:t>个百分点，继续位于临界点以下，连续</w:t>
      </w:r>
      <w:r w:rsidR="00237BD5" w:rsidRPr="00FD1230">
        <w:rPr>
          <w:rFonts w:eastAsia="KaiTi_GB2312" w:hint="eastAsia"/>
          <w:color w:val="auto"/>
        </w:rPr>
        <w:t>4</w:t>
      </w:r>
      <w:r w:rsidR="00237BD5" w:rsidRPr="00FD1230">
        <w:rPr>
          <w:rFonts w:eastAsia="KaiTi_GB2312" w:hint="eastAsia"/>
          <w:color w:val="auto"/>
        </w:rPr>
        <w:t>个月小幅回落。</w:t>
      </w:r>
      <w:r w:rsidR="00865439" w:rsidRPr="00FD1230">
        <w:rPr>
          <w:rFonts w:eastAsia="KaiTi_GB2312" w:hint="eastAsia"/>
          <w:color w:val="auto"/>
        </w:rPr>
        <w:t>结合</w:t>
      </w:r>
      <w:r w:rsidR="00865439" w:rsidRPr="00FD1230">
        <w:rPr>
          <w:rFonts w:eastAsia="KaiTi_GB2312" w:hint="eastAsia"/>
          <w:color w:val="auto"/>
        </w:rPr>
        <w:t>11</w:t>
      </w:r>
      <w:r w:rsidR="00865439" w:rsidRPr="00FD1230">
        <w:rPr>
          <w:rFonts w:eastAsia="KaiTi_GB2312" w:hint="eastAsia"/>
          <w:color w:val="auto"/>
        </w:rPr>
        <w:t>月汇丰</w:t>
      </w:r>
      <w:r w:rsidR="00865439" w:rsidRPr="00FD1230">
        <w:rPr>
          <w:rFonts w:eastAsia="KaiTi_GB2312" w:hint="eastAsia"/>
          <w:color w:val="auto"/>
        </w:rPr>
        <w:t>PMI</w:t>
      </w:r>
      <w:r w:rsidR="00865439" w:rsidRPr="00FD1230">
        <w:rPr>
          <w:rFonts w:eastAsia="KaiTi_GB2312" w:hint="eastAsia"/>
          <w:color w:val="auto"/>
        </w:rPr>
        <w:t>数据的下行以及</w:t>
      </w:r>
      <w:r w:rsidR="00865439" w:rsidRPr="00FD1230">
        <w:rPr>
          <w:rFonts w:eastAsia="KaiTi_GB2312" w:hint="eastAsia"/>
          <w:color w:val="auto"/>
        </w:rPr>
        <w:t>11</w:t>
      </w:r>
      <w:r w:rsidR="00865439" w:rsidRPr="00FD1230">
        <w:rPr>
          <w:rFonts w:eastAsia="KaiTi_GB2312" w:hint="eastAsia"/>
          <w:color w:val="auto"/>
        </w:rPr>
        <w:t>月上中旬发电量和粗钢产量等中观数据的小幅回落，预计</w:t>
      </w:r>
      <w:r w:rsidR="007A4528" w:rsidRPr="00FD1230">
        <w:rPr>
          <w:rFonts w:eastAsia="KaiTi_GB2312" w:hint="eastAsia"/>
          <w:color w:val="auto"/>
        </w:rPr>
        <w:t>四季度后两月的</w:t>
      </w:r>
      <w:r w:rsidR="00865439" w:rsidRPr="00FD1230">
        <w:rPr>
          <w:rFonts w:eastAsia="KaiTi_GB2312" w:hint="eastAsia"/>
          <w:color w:val="auto"/>
        </w:rPr>
        <w:t>经济增长较</w:t>
      </w:r>
      <w:r w:rsidR="00865439" w:rsidRPr="00FD1230">
        <w:rPr>
          <w:rFonts w:eastAsia="KaiTi_GB2312" w:hint="eastAsia"/>
          <w:color w:val="auto"/>
        </w:rPr>
        <w:t>10</w:t>
      </w:r>
      <w:r w:rsidR="00865439" w:rsidRPr="00FD1230">
        <w:rPr>
          <w:rFonts w:eastAsia="KaiTi_GB2312" w:hint="eastAsia"/>
          <w:color w:val="auto"/>
        </w:rPr>
        <w:t>月</w:t>
      </w:r>
      <w:r w:rsidR="007A4528" w:rsidRPr="00FD1230">
        <w:rPr>
          <w:rFonts w:eastAsia="KaiTi_GB2312" w:hint="eastAsia"/>
          <w:color w:val="auto"/>
        </w:rPr>
        <w:t>或有</w:t>
      </w:r>
      <w:r w:rsidR="00865439" w:rsidRPr="00FD1230">
        <w:rPr>
          <w:rFonts w:eastAsia="KaiTi_GB2312" w:hint="eastAsia"/>
          <w:color w:val="auto"/>
        </w:rPr>
        <w:t>温和回落，</w:t>
      </w:r>
      <w:r w:rsidR="007A4528" w:rsidRPr="00FD1230">
        <w:rPr>
          <w:rFonts w:eastAsia="KaiTi_GB2312" w:hint="eastAsia"/>
          <w:color w:val="auto"/>
        </w:rPr>
        <w:t>但总体保持平稳，季度</w:t>
      </w:r>
      <w:r w:rsidR="007A4528" w:rsidRPr="00FD1230">
        <w:rPr>
          <w:rFonts w:eastAsia="KaiTi_GB2312" w:hint="eastAsia"/>
          <w:color w:val="auto"/>
        </w:rPr>
        <w:t>GDP</w:t>
      </w:r>
      <w:r w:rsidR="007A4528" w:rsidRPr="00FD1230">
        <w:rPr>
          <w:rFonts w:eastAsia="KaiTi_GB2312" w:hint="eastAsia"/>
          <w:color w:val="auto"/>
        </w:rPr>
        <w:t>增长或在</w:t>
      </w:r>
      <w:r w:rsidR="007A4528" w:rsidRPr="00FD1230">
        <w:rPr>
          <w:rFonts w:eastAsia="KaiTi_GB2312" w:hint="eastAsia"/>
          <w:color w:val="auto"/>
        </w:rPr>
        <w:t>7.5%~7.6%</w:t>
      </w:r>
      <w:r w:rsidR="007A4528" w:rsidRPr="00FD1230">
        <w:rPr>
          <w:rFonts w:eastAsia="KaiTi_GB2312" w:hint="eastAsia"/>
          <w:color w:val="auto"/>
        </w:rPr>
        <w:t>（三季度</w:t>
      </w:r>
      <w:r w:rsidR="007A4528" w:rsidRPr="00FD1230">
        <w:rPr>
          <w:rFonts w:eastAsia="KaiTi_GB2312" w:hint="eastAsia"/>
          <w:color w:val="auto"/>
        </w:rPr>
        <w:t>7.8%</w:t>
      </w:r>
      <w:r w:rsidR="007A4528" w:rsidRPr="00FD1230">
        <w:rPr>
          <w:rFonts w:eastAsia="KaiTi_GB2312" w:hint="eastAsia"/>
          <w:color w:val="auto"/>
        </w:rPr>
        <w:t>），</w:t>
      </w:r>
      <w:r w:rsidR="00865439" w:rsidRPr="00FD1230">
        <w:rPr>
          <w:rFonts w:eastAsia="KaiTi_GB2312" w:hint="eastAsia"/>
          <w:color w:val="auto"/>
        </w:rPr>
        <w:t>物价</w:t>
      </w:r>
      <w:r w:rsidR="007A4528" w:rsidRPr="00FD1230">
        <w:rPr>
          <w:rFonts w:eastAsia="KaiTi_GB2312" w:hint="eastAsia"/>
          <w:color w:val="auto"/>
        </w:rPr>
        <w:t>预期</w:t>
      </w:r>
      <w:r w:rsidR="00865439" w:rsidRPr="00FD1230">
        <w:rPr>
          <w:rFonts w:eastAsia="KaiTi_GB2312" w:hint="eastAsia"/>
          <w:color w:val="auto"/>
        </w:rPr>
        <w:t>保持稳定或亦小幅回落。</w:t>
      </w:r>
    </w:p>
    <w:p w:rsidR="00C60B0D" w:rsidRPr="00FD1230" w:rsidRDefault="00A96018" w:rsidP="000851F8">
      <w:pPr>
        <w:pStyle w:val="ab"/>
        <w:numPr>
          <w:ilvl w:val="5"/>
          <w:numId w:val="2"/>
        </w:numPr>
        <w:spacing w:after="163"/>
        <w:ind w:left="4140" w:hanging="369"/>
        <w:rPr>
          <w:rFonts w:eastAsia="KaiTi_GB2312"/>
          <w:color w:val="auto"/>
        </w:rPr>
      </w:pPr>
      <w:r w:rsidRPr="00FD1230">
        <w:rPr>
          <w:rFonts w:eastAsia="KaiTi_GB2312" w:hint="eastAsia"/>
          <w:color w:val="auto"/>
        </w:rPr>
        <w:t>短期</w:t>
      </w:r>
      <w:r w:rsidR="00C35B68" w:rsidRPr="00FD1230">
        <w:rPr>
          <w:rFonts w:eastAsia="KaiTi_GB2312" w:hint="eastAsia"/>
          <w:color w:val="auto"/>
        </w:rPr>
        <w:t>流动性继续小幅改善。</w:t>
      </w:r>
      <w:r w:rsidR="00C60B0D" w:rsidRPr="00FD1230">
        <w:rPr>
          <w:rFonts w:eastAsia="KaiTi_GB2312" w:hint="eastAsia"/>
          <w:color w:val="auto"/>
        </w:rPr>
        <w:t>近期随着央行多次开展公开市场逆回购操作，以及停止</w:t>
      </w:r>
      <w:r w:rsidR="00C60B0D" w:rsidRPr="00FD1230">
        <w:rPr>
          <w:rFonts w:eastAsia="KaiTi_GB2312" w:hint="eastAsia"/>
          <w:color w:val="auto"/>
        </w:rPr>
        <w:t>3</w:t>
      </w:r>
      <w:r w:rsidR="00C60B0D" w:rsidRPr="00FD1230">
        <w:rPr>
          <w:rFonts w:eastAsia="KaiTi_GB2312" w:hint="eastAsia"/>
          <w:color w:val="auto"/>
        </w:rPr>
        <w:t>年期央票的到期续发，资金面的紧张程度有了明显缓和，</w:t>
      </w:r>
      <w:r w:rsidR="0060162B" w:rsidRPr="00FD1230">
        <w:rPr>
          <w:rFonts w:eastAsia="KaiTi_GB2312" w:hint="eastAsia"/>
          <w:color w:val="auto"/>
        </w:rPr>
        <w:t>利率品种</w:t>
      </w:r>
      <w:r w:rsidR="00C60B0D" w:rsidRPr="00FD1230">
        <w:rPr>
          <w:rFonts w:eastAsia="KaiTi_GB2312" w:hint="eastAsia"/>
          <w:color w:val="auto"/>
        </w:rPr>
        <w:t>收益率曲线连续下行。考虑到外汇占款、年末财政存款的投放等因素，</w:t>
      </w:r>
      <w:r w:rsidR="00C60B0D" w:rsidRPr="00FD1230">
        <w:rPr>
          <w:rFonts w:eastAsia="KaiTi_GB2312" w:hint="eastAsia"/>
          <w:color w:val="auto"/>
        </w:rPr>
        <w:t>12</w:t>
      </w:r>
      <w:r w:rsidR="00C60B0D" w:rsidRPr="00FD1230">
        <w:rPr>
          <w:rFonts w:eastAsia="KaiTi_GB2312" w:hint="eastAsia"/>
          <w:color w:val="auto"/>
        </w:rPr>
        <w:t>月份流动性可能较</w:t>
      </w:r>
      <w:r w:rsidR="00C60B0D" w:rsidRPr="00FD1230">
        <w:rPr>
          <w:rFonts w:eastAsia="KaiTi_GB2312" w:hint="eastAsia"/>
          <w:color w:val="auto"/>
        </w:rPr>
        <w:t>11</w:t>
      </w:r>
      <w:r w:rsidR="0060162B" w:rsidRPr="00FD1230">
        <w:rPr>
          <w:rFonts w:eastAsia="KaiTi_GB2312" w:hint="eastAsia"/>
          <w:color w:val="auto"/>
        </w:rPr>
        <w:t>月份略有好转，但</w:t>
      </w:r>
      <w:r w:rsidR="00C60B0D" w:rsidRPr="00FD1230">
        <w:rPr>
          <w:rFonts w:eastAsia="KaiTi_GB2312" w:hint="eastAsia"/>
          <w:color w:val="auto"/>
        </w:rPr>
        <w:t>离真正意义上的放松还有很长的距离。央行曾多次重申要坚持稳健的货币政策，而且经验表明，时至年末资金面的紧张程度往往会加剧。加上美国</w:t>
      </w:r>
      <w:r w:rsidR="00C60B0D" w:rsidRPr="00FD1230">
        <w:rPr>
          <w:rFonts w:eastAsia="KaiTi_GB2312" w:hint="eastAsia"/>
          <w:color w:val="auto"/>
        </w:rPr>
        <w:t>QE</w:t>
      </w:r>
      <w:r w:rsidR="00C60B0D" w:rsidRPr="00FD1230">
        <w:rPr>
          <w:rFonts w:eastAsia="KaiTi_GB2312" w:hint="eastAsia"/>
          <w:color w:val="auto"/>
        </w:rPr>
        <w:t>何时退出依然是一个悬而未决的问题</w:t>
      </w:r>
      <w:r w:rsidRPr="00FD1230">
        <w:rPr>
          <w:rFonts w:eastAsia="KaiTi_GB2312" w:hint="eastAsia"/>
          <w:color w:val="auto"/>
        </w:rPr>
        <w:t>（我们更倾向于</w:t>
      </w:r>
      <w:r w:rsidRPr="00FD1230">
        <w:rPr>
          <w:rFonts w:eastAsia="KaiTi_GB2312" w:hint="eastAsia"/>
          <w:color w:val="auto"/>
        </w:rPr>
        <w:t>14</w:t>
      </w:r>
      <w:r w:rsidRPr="00FD1230">
        <w:rPr>
          <w:rFonts w:eastAsia="KaiTi_GB2312" w:hint="eastAsia"/>
          <w:color w:val="auto"/>
        </w:rPr>
        <w:t>年</w:t>
      </w:r>
      <w:r w:rsidRPr="00FD1230">
        <w:rPr>
          <w:rFonts w:eastAsia="KaiTi_GB2312" w:hint="eastAsia"/>
          <w:color w:val="auto"/>
        </w:rPr>
        <w:t>3</w:t>
      </w:r>
      <w:r w:rsidRPr="00FD1230">
        <w:rPr>
          <w:rFonts w:eastAsia="KaiTi_GB2312" w:hint="eastAsia"/>
          <w:color w:val="auto"/>
        </w:rPr>
        <w:t>月份）</w:t>
      </w:r>
      <w:r w:rsidR="00C60B0D" w:rsidRPr="00FD1230">
        <w:rPr>
          <w:rFonts w:eastAsia="KaiTi_GB2312" w:hint="eastAsia"/>
          <w:color w:val="auto"/>
        </w:rPr>
        <w:t>，因而对于国内流动性的影响仍然有较大的不确定性。从实际利率走势来看，近期短期流动性确有好转，短期资金价格出现回落，但是中长期利率依旧延续向上走势，即资金面仍未全面放宽。</w:t>
      </w:r>
    </w:p>
    <w:p w:rsidR="00270827" w:rsidRPr="00FD1230" w:rsidRDefault="008F0A1D" w:rsidP="000851F8">
      <w:pPr>
        <w:pStyle w:val="ab"/>
        <w:numPr>
          <w:ilvl w:val="5"/>
          <w:numId w:val="2"/>
        </w:numPr>
        <w:spacing w:after="163"/>
        <w:ind w:left="4140" w:hanging="369"/>
        <w:rPr>
          <w:rFonts w:eastAsia="KaiTi_GB2312"/>
          <w:color w:val="auto"/>
        </w:rPr>
      </w:pPr>
      <w:r w:rsidRPr="00FD1230">
        <w:rPr>
          <w:rFonts w:eastAsia="KaiTi_GB2312" w:hint="eastAsia"/>
          <w:color w:val="auto"/>
        </w:rPr>
        <w:t>改革</w:t>
      </w:r>
      <w:r w:rsidR="00BD7CEA" w:rsidRPr="00FD1230">
        <w:rPr>
          <w:rFonts w:eastAsia="KaiTi_GB2312" w:hint="eastAsia"/>
          <w:color w:val="auto"/>
        </w:rPr>
        <w:t>是市场持续投资主题</w:t>
      </w:r>
      <w:r w:rsidRPr="00FD1230">
        <w:rPr>
          <w:rFonts w:eastAsia="KaiTi_GB2312" w:hint="eastAsia"/>
          <w:color w:val="auto"/>
        </w:rPr>
        <w:t>。</w:t>
      </w:r>
      <w:r w:rsidR="00270827" w:rsidRPr="00FD1230">
        <w:rPr>
          <w:rFonts w:eastAsia="KaiTi_GB2312" w:hint="eastAsia"/>
          <w:color w:val="auto"/>
        </w:rPr>
        <w:t>改革对</w:t>
      </w:r>
      <w:r w:rsidR="00270827" w:rsidRPr="00FD1230">
        <w:rPr>
          <w:rFonts w:eastAsia="KaiTi_GB2312" w:hint="eastAsia"/>
          <w:color w:val="auto"/>
        </w:rPr>
        <w:t>A</w:t>
      </w:r>
      <w:r w:rsidR="00270827" w:rsidRPr="00FD1230">
        <w:rPr>
          <w:rFonts w:eastAsia="KaiTi_GB2312" w:hint="eastAsia"/>
          <w:color w:val="auto"/>
        </w:rPr>
        <w:t>股市场有着深远的影响，无论是</w:t>
      </w:r>
      <w:r w:rsidR="002D7992" w:rsidRPr="00FD1230">
        <w:rPr>
          <w:rFonts w:eastAsia="KaiTi_GB2312" w:hint="eastAsia"/>
          <w:color w:val="auto"/>
        </w:rPr>
        <w:t>制度层面、</w:t>
      </w:r>
      <w:r w:rsidR="00270827" w:rsidRPr="00FD1230">
        <w:rPr>
          <w:rFonts w:eastAsia="KaiTi_GB2312" w:hint="eastAsia"/>
          <w:color w:val="auto"/>
        </w:rPr>
        <w:t>基本面</w:t>
      </w:r>
      <w:r w:rsidR="002D7992" w:rsidRPr="00FD1230">
        <w:rPr>
          <w:rFonts w:eastAsia="KaiTi_GB2312" w:hint="eastAsia"/>
          <w:color w:val="auto"/>
        </w:rPr>
        <w:t>层面</w:t>
      </w:r>
      <w:r w:rsidR="00270827" w:rsidRPr="00FD1230">
        <w:rPr>
          <w:rFonts w:eastAsia="KaiTi_GB2312" w:hint="eastAsia"/>
          <w:color w:val="auto"/>
        </w:rPr>
        <w:t>还是心理层面。</w:t>
      </w:r>
      <w:r w:rsidR="00330B3A" w:rsidRPr="00FD1230">
        <w:rPr>
          <w:rFonts w:eastAsia="KaiTi_GB2312" w:hint="eastAsia"/>
          <w:color w:val="auto"/>
        </w:rPr>
        <w:t>我们看到，十八届三中全会公报发布之后，由于涵盖内容低于预期而引起股指下跌。而随后的《中共中央关于全面深化改革若干重大问题的决定》则再度展示本届政府的改革决心和力度，</w:t>
      </w:r>
      <w:r w:rsidR="00330B3A" w:rsidRPr="00FD1230">
        <w:rPr>
          <w:rFonts w:eastAsia="KaiTi_GB2312" w:hint="eastAsia"/>
          <w:color w:val="auto"/>
        </w:rPr>
        <w:t>11</w:t>
      </w:r>
      <w:r w:rsidR="00330B3A" w:rsidRPr="00FD1230">
        <w:rPr>
          <w:rFonts w:eastAsia="KaiTi_GB2312" w:hint="eastAsia"/>
          <w:color w:val="auto"/>
        </w:rPr>
        <w:t>月中以来</w:t>
      </w:r>
      <w:r w:rsidR="00330B3A" w:rsidRPr="00FD1230">
        <w:rPr>
          <w:rFonts w:eastAsia="KaiTi_GB2312" w:hint="eastAsia"/>
          <w:color w:val="auto"/>
        </w:rPr>
        <w:t>A</w:t>
      </w:r>
      <w:r w:rsidR="00330B3A" w:rsidRPr="00FD1230">
        <w:rPr>
          <w:rFonts w:eastAsia="KaiTi_GB2312" w:hint="eastAsia"/>
          <w:color w:val="auto"/>
        </w:rPr>
        <w:t>股市场的反弹，既有流动性小幅改善的因素，亦有市场情绪对改革预期的修复。因此，</w:t>
      </w:r>
      <w:r w:rsidR="000253A1" w:rsidRPr="00FD1230">
        <w:rPr>
          <w:rFonts w:eastAsia="KaiTi_GB2312" w:hint="eastAsia"/>
          <w:color w:val="auto"/>
        </w:rPr>
        <w:t>在经济增长总体保持平稳、流动性供应适度偏紧的情况下，</w:t>
      </w:r>
      <w:r w:rsidR="00744977" w:rsidRPr="00FD1230">
        <w:rPr>
          <w:rFonts w:eastAsia="KaiTi_GB2312" w:hint="eastAsia"/>
          <w:color w:val="auto"/>
        </w:rPr>
        <w:t>改革无疑是</w:t>
      </w:r>
      <w:r w:rsidR="00744977" w:rsidRPr="00FD1230">
        <w:rPr>
          <w:rFonts w:eastAsia="KaiTi_GB2312" w:hint="eastAsia"/>
          <w:color w:val="auto"/>
        </w:rPr>
        <w:t>A</w:t>
      </w:r>
      <w:r w:rsidR="00744977" w:rsidRPr="00FD1230">
        <w:rPr>
          <w:rFonts w:eastAsia="KaiTi_GB2312" w:hint="eastAsia"/>
          <w:color w:val="auto"/>
        </w:rPr>
        <w:t>股市场当前乃至</w:t>
      </w:r>
      <w:r w:rsidR="00744977" w:rsidRPr="00FD1230">
        <w:rPr>
          <w:rFonts w:eastAsia="KaiTi_GB2312" w:hint="eastAsia"/>
          <w:color w:val="auto"/>
        </w:rPr>
        <w:t>2014</w:t>
      </w:r>
      <w:r w:rsidR="00744977" w:rsidRPr="00FD1230">
        <w:rPr>
          <w:rFonts w:eastAsia="KaiTi_GB2312" w:hint="eastAsia"/>
          <w:color w:val="auto"/>
        </w:rPr>
        <w:t>年最为核心的投资主题</w:t>
      </w:r>
      <w:r w:rsidR="00330B3A" w:rsidRPr="00FD1230">
        <w:rPr>
          <w:rFonts w:eastAsia="KaiTi_GB2312" w:hint="eastAsia"/>
          <w:color w:val="auto"/>
        </w:rPr>
        <w:t>，相关如</w:t>
      </w:r>
      <w:r w:rsidR="003056A1" w:rsidRPr="00FD1230">
        <w:rPr>
          <w:rFonts w:eastAsia="KaiTi_GB2312" w:hint="eastAsia"/>
          <w:color w:val="auto"/>
        </w:rPr>
        <w:t>军工安防、土地改革、金融改革、国企改革、</w:t>
      </w:r>
      <w:r w:rsidR="00381992" w:rsidRPr="00FD1230">
        <w:rPr>
          <w:rFonts w:eastAsia="KaiTi_GB2312" w:hint="eastAsia"/>
          <w:color w:val="auto"/>
        </w:rPr>
        <w:t>破除垄断及资源价格改革、</w:t>
      </w:r>
      <w:r w:rsidR="0037074A" w:rsidRPr="00FD1230">
        <w:rPr>
          <w:rFonts w:eastAsia="KaiTi_GB2312" w:hint="eastAsia"/>
          <w:color w:val="auto"/>
        </w:rPr>
        <w:t>生态环保、自贸区等</w:t>
      </w:r>
      <w:r w:rsidR="00330B3A" w:rsidRPr="00FD1230">
        <w:rPr>
          <w:rFonts w:eastAsia="KaiTi_GB2312" w:hint="eastAsia"/>
          <w:color w:val="auto"/>
        </w:rPr>
        <w:t>等</w:t>
      </w:r>
      <w:r w:rsidR="0037074A" w:rsidRPr="00FD1230">
        <w:rPr>
          <w:rFonts w:eastAsia="KaiTi_GB2312" w:hint="eastAsia"/>
          <w:color w:val="auto"/>
        </w:rPr>
        <w:t>。不过，经过</w:t>
      </w:r>
      <w:r w:rsidR="0037074A" w:rsidRPr="00FD1230">
        <w:rPr>
          <w:rFonts w:eastAsia="KaiTi_GB2312" w:hint="eastAsia"/>
          <w:color w:val="auto"/>
        </w:rPr>
        <w:t>11</w:t>
      </w:r>
      <w:r w:rsidR="0037074A" w:rsidRPr="00FD1230">
        <w:rPr>
          <w:rFonts w:eastAsia="KaiTi_GB2312" w:hint="eastAsia"/>
          <w:color w:val="auto"/>
        </w:rPr>
        <w:t>月中下以来的轮番上涨，相关主题</w:t>
      </w:r>
      <w:r w:rsidR="00EC39D8" w:rsidRPr="00FD1230">
        <w:rPr>
          <w:rFonts w:eastAsia="KaiTi_GB2312" w:hint="eastAsia"/>
          <w:color w:val="auto"/>
        </w:rPr>
        <w:t>的短期投资价值</w:t>
      </w:r>
      <w:r w:rsidR="00330B3A" w:rsidRPr="00FD1230">
        <w:rPr>
          <w:rFonts w:eastAsia="KaiTi_GB2312" w:hint="eastAsia"/>
          <w:color w:val="auto"/>
        </w:rPr>
        <w:t>已</w:t>
      </w:r>
      <w:r w:rsidR="00EC39D8" w:rsidRPr="00FD1230">
        <w:rPr>
          <w:rFonts w:eastAsia="KaiTi_GB2312" w:hint="eastAsia"/>
          <w:color w:val="auto"/>
        </w:rPr>
        <w:t>有所</w:t>
      </w:r>
      <w:r w:rsidR="00330B3A" w:rsidRPr="00FD1230">
        <w:rPr>
          <w:rFonts w:eastAsia="KaiTi_GB2312" w:hint="eastAsia"/>
          <w:color w:val="auto"/>
        </w:rPr>
        <w:t>透支</w:t>
      </w:r>
      <w:r w:rsidR="005846FF" w:rsidRPr="00FD1230">
        <w:rPr>
          <w:rFonts w:eastAsia="KaiTi_GB2312" w:hint="eastAsia"/>
          <w:color w:val="auto"/>
        </w:rPr>
        <w:t>，表现为</w:t>
      </w:r>
      <w:r w:rsidR="005846FF" w:rsidRPr="00FD1230">
        <w:rPr>
          <w:rFonts w:eastAsia="KaiTi_GB2312" w:hint="eastAsia"/>
          <w:color w:val="auto"/>
        </w:rPr>
        <w:t>11</w:t>
      </w:r>
      <w:r w:rsidR="005846FF" w:rsidRPr="00FD1230">
        <w:rPr>
          <w:rFonts w:eastAsia="KaiTi_GB2312" w:hint="eastAsia"/>
          <w:color w:val="auto"/>
        </w:rPr>
        <w:t>月底板块的快速乃至超速轮动。</w:t>
      </w:r>
    </w:p>
    <w:p w:rsidR="00A41BC0" w:rsidRPr="00FD1230" w:rsidRDefault="00EC39D8" w:rsidP="000851F8">
      <w:pPr>
        <w:pStyle w:val="ab"/>
        <w:numPr>
          <w:ilvl w:val="5"/>
          <w:numId w:val="2"/>
        </w:numPr>
        <w:spacing w:after="163"/>
        <w:ind w:left="4140" w:hanging="369"/>
        <w:rPr>
          <w:rFonts w:eastAsia="KaiTi_GB2312"/>
          <w:color w:val="auto"/>
        </w:rPr>
      </w:pPr>
      <w:r w:rsidRPr="00FD1230">
        <w:rPr>
          <w:rFonts w:eastAsia="KaiTi_GB2312" w:hint="eastAsia"/>
          <w:color w:val="auto"/>
        </w:rPr>
        <w:t>IPO</w:t>
      </w:r>
      <w:r w:rsidRPr="00FD1230">
        <w:rPr>
          <w:rFonts w:eastAsia="KaiTi_GB2312" w:hint="eastAsia"/>
          <w:color w:val="auto"/>
        </w:rPr>
        <w:t>重启</w:t>
      </w:r>
      <w:r w:rsidR="004E1FD0" w:rsidRPr="00FD1230">
        <w:rPr>
          <w:rFonts w:eastAsia="KaiTi_GB2312" w:hint="eastAsia"/>
          <w:color w:val="auto"/>
        </w:rPr>
        <w:t>或阶段压制市场</w:t>
      </w:r>
      <w:r w:rsidR="00F17B15" w:rsidRPr="00FD1230">
        <w:rPr>
          <w:rFonts w:eastAsia="KaiTi_GB2312" w:hint="eastAsia"/>
          <w:color w:val="auto"/>
        </w:rPr>
        <w:t>。</w:t>
      </w:r>
      <w:r w:rsidR="00C712CF" w:rsidRPr="00FD1230">
        <w:rPr>
          <w:rFonts w:eastAsia="KaiTi_GB2312" w:hint="eastAsia"/>
          <w:color w:val="auto"/>
        </w:rPr>
        <w:t>11</w:t>
      </w:r>
      <w:r w:rsidR="00C712CF" w:rsidRPr="00FD1230">
        <w:rPr>
          <w:rFonts w:eastAsia="KaiTi_GB2312" w:hint="eastAsia"/>
          <w:color w:val="auto"/>
        </w:rPr>
        <w:t>月</w:t>
      </w:r>
      <w:r w:rsidR="00C712CF" w:rsidRPr="00FD1230">
        <w:rPr>
          <w:rFonts w:eastAsia="KaiTi_GB2312" w:hint="eastAsia"/>
          <w:color w:val="auto"/>
        </w:rPr>
        <w:t>30</w:t>
      </w:r>
      <w:r w:rsidR="00C712CF" w:rsidRPr="00FD1230">
        <w:rPr>
          <w:rFonts w:eastAsia="KaiTi_GB2312" w:hint="eastAsia"/>
          <w:color w:val="auto"/>
        </w:rPr>
        <w:t>日，</w:t>
      </w:r>
      <w:r w:rsidR="00AD6F54" w:rsidRPr="00FD1230">
        <w:rPr>
          <w:rFonts w:eastAsia="KaiTi_GB2312" w:hint="eastAsia"/>
          <w:color w:val="auto"/>
        </w:rPr>
        <w:t>经深入调研、广泛听取意见，证监会制定并发布《关于进一步推进新股发行体制改革的意见》。这是逐步推进股票发行从核准制向注册制过渡的重要步骤</w:t>
      </w:r>
      <w:r w:rsidR="00C712CF" w:rsidRPr="00FD1230">
        <w:rPr>
          <w:rFonts w:eastAsia="KaiTi_GB2312" w:hint="eastAsia"/>
          <w:color w:val="auto"/>
        </w:rPr>
        <w:t>，同时也意味着暂停一年之久的</w:t>
      </w:r>
      <w:r w:rsidR="009E21AB" w:rsidRPr="00FD1230">
        <w:rPr>
          <w:rFonts w:eastAsia="KaiTi_GB2312" w:hint="eastAsia"/>
          <w:color w:val="auto"/>
        </w:rPr>
        <w:t>IPO</w:t>
      </w:r>
      <w:r w:rsidR="009E21AB" w:rsidRPr="00FD1230">
        <w:rPr>
          <w:rFonts w:eastAsia="KaiTi_GB2312" w:hint="eastAsia"/>
          <w:color w:val="auto"/>
        </w:rPr>
        <w:t>将重启。</w:t>
      </w:r>
      <w:r w:rsidR="00690FF7" w:rsidRPr="00FD1230">
        <w:rPr>
          <w:rFonts w:eastAsia="KaiTi_GB2312" w:hint="eastAsia"/>
          <w:color w:val="auto"/>
        </w:rPr>
        <w:t>同时，国务院</w:t>
      </w:r>
      <w:r w:rsidR="00256FBC" w:rsidRPr="00FD1230">
        <w:rPr>
          <w:rFonts w:eastAsia="KaiTi_GB2312" w:hint="eastAsia"/>
          <w:color w:val="auto"/>
        </w:rPr>
        <w:t>发布《</w:t>
      </w:r>
      <w:r w:rsidR="00690FF7" w:rsidRPr="00FD1230">
        <w:rPr>
          <w:rFonts w:eastAsia="KaiTi_GB2312" w:hint="eastAsia"/>
          <w:color w:val="auto"/>
        </w:rPr>
        <w:t>关于开展优先股试点的指导意见</w:t>
      </w:r>
      <w:r w:rsidR="00256FBC" w:rsidRPr="00FD1230">
        <w:rPr>
          <w:rFonts w:eastAsia="KaiTi_GB2312" w:hint="eastAsia"/>
          <w:color w:val="auto"/>
        </w:rPr>
        <w:t>》。</w:t>
      </w:r>
      <w:r w:rsidR="00C538B2" w:rsidRPr="00FD1230">
        <w:rPr>
          <w:rFonts w:eastAsia="KaiTi_GB2312" w:hint="eastAsia"/>
          <w:color w:val="auto"/>
        </w:rPr>
        <w:t>长期看，</w:t>
      </w:r>
      <w:r w:rsidR="00053D98" w:rsidRPr="00FD1230">
        <w:rPr>
          <w:rFonts w:eastAsia="KaiTi_GB2312" w:hint="eastAsia"/>
          <w:color w:val="auto"/>
        </w:rPr>
        <w:t>《</w:t>
      </w:r>
      <w:r w:rsidR="00256FBC" w:rsidRPr="00FD1230">
        <w:rPr>
          <w:rFonts w:eastAsia="KaiTi_GB2312" w:hint="eastAsia"/>
          <w:color w:val="auto"/>
        </w:rPr>
        <w:t>新股</w:t>
      </w:r>
      <w:r w:rsidR="00053D98" w:rsidRPr="00FD1230">
        <w:rPr>
          <w:rFonts w:eastAsia="KaiTi_GB2312" w:hint="eastAsia"/>
          <w:color w:val="auto"/>
        </w:rPr>
        <w:t>意见》</w:t>
      </w:r>
      <w:r w:rsidR="0004681E" w:rsidRPr="00FD1230">
        <w:rPr>
          <w:rFonts w:eastAsia="KaiTi_GB2312" w:hint="eastAsia"/>
          <w:color w:val="auto"/>
        </w:rPr>
        <w:t>符合金融改革方向</w:t>
      </w:r>
      <w:r w:rsidR="00C538B2" w:rsidRPr="00FD1230">
        <w:rPr>
          <w:rFonts w:eastAsia="KaiTi_GB2312" w:hint="eastAsia"/>
          <w:color w:val="auto"/>
        </w:rPr>
        <w:t>，有利于</w:t>
      </w:r>
      <w:r w:rsidR="00C538B2" w:rsidRPr="00FD1230">
        <w:rPr>
          <w:rFonts w:eastAsia="KaiTi_GB2312" w:hint="eastAsia"/>
          <w:color w:val="auto"/>
        </w:rPr>
        <w:t>A</w:t>
      </w:r>
      <w:r w:rsidR="00C538B2" w:rsidRPr="00FD1230">
        <w:rPr>
          <w:rFonts w:eastAsia="KaiTi_GB2312" w:hint="eastAsia"/>
          <w:color w:val="auto"/>
        </w:rPr>
        <w:t>股市场的长期健康发展。《</w:t>
      </w:r>
      <w:r w:rsidR="00256FBC" w:rsidRPr="00FD1230">
        <w:rPr>
          <w:rFonts w:eastAsia="KaiTi_GB2312" w:hint="eastAsia"/>
          <w:color w:val="auto"/>
        </w:rPr>
        <w:t>新股</w:t>
      </w:r>
      <w:r w:rsidR="00C538B2" w:rsidRPr="00FD1230">
        <w:rPr>
          <w:rFonts w:eastAsia="KaiTi_GB2312" w:hint="eastAsia"/>
          <w:color w:val="auto"/>
        </w:rPr>
        <w:t>意见》</w:t>
      </w:r>
      <w:r w:rsidR="00053D98" w:rsidRPr="00FD1230">
        <w:rPr>
          <w:rFonts w:eastAsia="KaiTi_GB2312" w:hint="eastAsia"/>
          <w:color w:val="auto"/>
        </w:rPr>
        <w:t>坚持市场化、法制化取向，突出以信息披露为中心的监管理念，加大信息公开力度，努力实现公众的全过程监督。同时，以保护中小投资者合法权益为宗旨，着力保护中小投资者的知情权、参与权、监督权、求偿权，并调整新股配售机制，更加尊重中小投资者申购意愿。约束发行人定高价，抑制投资者报高价，遏制股票上市后“炒新”行为。</w:t>
      </w:r>
      <w:r w:rsidR="00C538B2" w:rsidRPr="00FD1230">
        <w:rPr>
          <w:rFonts w:eastAsia="KaiTi_GB2312" w:hint="eastAsia"/>
          <w:color w:val="auto"/>
        </w:rPr>
        <w:t>但短期看，</w:t>
      </w:r>
      <w:r w:rsidR="001640A4" w:rsidRPr="00FD1230">
        <w:rPr>
          <w:rFonts w:eastAsia="KaiTi_GB2312" w:hint="eastAsia"/>
          <w:color w:val="auto"/>
        </w:rPr>
        <w:t>潜在的</w:t>
      </w:r>
      <w:r w:rsidR="00955ED0" w:rsidRPr="00FD1230">
        <w:rPr>
          <w:rFonts w:eastAsia="KaiTi_GB2312" w:hint="eastAsia"/>
          <w:color w:val="auto"/>
        </w:rPr>
        <w:t>供给压力</w:t>
      </w:r>
      <w:r w:rsidR="001640A4" w:rsidRPr="00FD1230">
        <w:rPr>
          <w:rFonts w:eastAsia="KaiTi_GB2312" w:hint="eastAsia"/>
          <w:color w:val="auto"/>
        </w:rPr>
        <w:t>是否影响市场的做多情绪</w:t>
      </w:r>
      <w:r w:rsidR="005846FF" w:rsidRPr="00FD1230">
        <w:rPr>
          <w:rFonts w:eastAsia="KaiTi_GB2312" w:hint="eastAsia"/>
          <w:color w:val="auto"/>
        </w:rPr>
        <w:t>，</w:t>
      </w:r>
      <w:r w:rsidR="0025077E" w:rsidRPr="00FD1230">
        <w:rPr>
          <w:rFonts w:eastAsia="KaiTi_GB2312" w:hint="eastAsia"/>
          <w:color w:val="auto"/>
        </w:rPr>
        <w:t>有待观察，至少需留一份谨慎。</w:t>
      </w:r>
      <w:r w:rsidR="004125AE" w:rsidRPr="00FD1230">
        <w:rPr>
          <w:rFonts w:eastAsia="KaiTi_GB2312" w:hint="eastAsia"/>
          <w:color w:val="auto"/>
        </w:rPr>
        <w:t>综合《</w:t>
      </w:r>
      <w:r w:rsidR="00256FBC" w:rsidRPr="00FD1230">
        <w:rPr>
          <w:rFonts w:eastAsia="KaiTi_GB2312" w:hint="eastAsia"/>
          <w:color w:val="auto"/>
        </w:rPr>
        <w:t>新股</w:t>
      </w:r>
      <w:r w:rsidR="004125AE" w:rsidRPr="00FD1230">
        <w:rPr>
          <w:rFonts w:eastAsia="KaiTi_GB2312" w:hint="eastAsia"/>
          <w:color w:val="auto"/>
        </w:rPr>
        <w:t>意见》</w:t>
      </w:r>
      <w:r w:rsidR="00256FBC" w:rsidRPr="00FD1230">
        <w:rPr>
          <w:rFonts w:eastAsia="KaiTi_GB2312" w:hint="eastAsia"/>
          <w:color w:val="auto"/>
        </w:rPr>
        <w:t>、《优先股意见》</w:t>
      </w:r>
      <w:r w:rsidR="004125AE" w:rsidRPr="00FD1230">
        <w:rPr>
          <w:rFonts w:eastAsia="KaiTi_GB2312" w:hint="eastAsia"/>
          <w:color w:val="auto"/>
        </w:rPr>
        <w:t>以及</w:t>
      </w:r>
      <w:r w:rsidR="004125AE" w:rsidRPr="00FD1230">
        <w:rPr>
          <w:rFonts w:eastAsia="KaiTi_GB2312" w:hint="eastAsia"/>
          <w:color w:val="auto"/>
        </w:rPr>
        <w:t>A</w:t>
      </w:r>
      <w:r w:rsidR="004125AE" w:rsidRPr="00FD1230">
        <w:rPr>
          <w:rFonts w:eastAsia="KaiTi_GB2312" w:hint="eastAsia"/>
          <w:color w:val="auto"/>
        </w:rPr>
        <w:t>股市场当前情况，相对而言，</w:t>
      </w:r>
      <w:r w:rsidR="008073CA" w:rsidRPr="00FD1230">
        <w:rPr>
          <w:rFonts w:eastAsia="KaiTi_GB2312" w:hint="eastAsia"/>
          <w:color w:val="auto"/>
        </w:rPr>
        <w:t>包括创业板在内的估值偏高的中小市值股票潜在冲击更为显著，主板市场则</w:t>
      </w:r>
      <w:r w:rsidR="00CA630D" w:rsidRPr="00FD1230">
        <w:rPr>
          <w:rFonts w:eastAsia="KaiTi_GB2312" w:hint="eastAsia"/>
          <w:color w:val="auto"/>
        </w:rPr>
        <w:t>相对较小（更多为情绪面的）。</w:t>
      </w:r>
      <w:r w:rsidR="00AF6699" w:rsidRPr="00FD1230">
        <w:rPr>
          <w:rFonts w:eastAsia="KaiTi_GB2312" w:hint="eastAsia"/>
          <w:color w:val="auto"/>
        </w:rPr>
        <w:t>分</w:t>
      </w:r>
      <w:r w:rsidR="00CA630D" w:rsidRPr="00FD1230">
        <w:rPr>
          <w:rFonts w:eastAsia="KaiTi_GB2312" w:hint="eastAsia"/>
          <w:color w:val="auto"/>
        </w:rPr>
        <w:t>行业来看，</w:t>
      </w:r>
      <w:r w:rsidR="001615D1" w:rsidRPr="00FD1230">
        <w:rPr>
          <w:rFonts w:eastAsia="KaiTi_GB2312" w:hint="eastAsia"/>
          <w:color w:val="auto"/>
        </w:rPr>
        <w:t>在</w:t>
      </w:r>
      <w:r w:rsidR="001615D1" w:rsidRPr="00FD1230">
        <w:rPr>
          <w:rFonts w:eastAsia="KaiTi_GB2312" w:hint="eastAsia"/>
          <w:color w:val="auto"/>
        </w:rPr>
        <w:t>IPO</w:t>
      </w:r>
      <w:r w:rsidR="001615D1" w:rsidRPr="00FD1230">
        <w:rPr>
          <w:rFonts w:eastAsia="KaiTi_GB2312" w:hint="eastAsia"/>
          <w:color w:val="auto"/>
        </w:rPr>
        <w:t>重启以及</w:t>
      </w:r>
      <w:r w:rsidR="00297477" w:rsidRPr="00FD1230">
        <w:rPr>
          <w:rFonts w:eastAsia="KaiTi_GB2312" w:hint="eastAsia"/>
          <w:color w:val="auto"/>
        </w:rPr>
        <w:t>引入主承销商自主配售机制，</w:t>
      </w:r>
      <w:r w:rsidR="00690FF7" w:rsidRPr="00FD1230">
        <w:rPr>
          <w:rFonts w:eastAsia="KaiTi_GB2312" w:hint="eastAsia"/>
          <w:color w:val="auto"/>
        </w:rPr>
        <w:t>均使得</w:t>
      </w:r>
      <w:r w:rsidR="00297477" w:rsidRPr="00FD1230">
        <w:rPr>
          <w:rFonts w:eastAsia="KaiTi_GB2312" w:hint="eastAsia"/>
          <w:color w:val="auto"/>
        </w:rPr>
        <w:t>券商行业</w:t>
      </w:r>
      <w:r w:rsidR="00690FF7" w:rsidRPr="00FD1230">
        <w:rPr>
          <w:rFonts w:eastAsia="KaiTi_GB2312" w:hint="eastAsia"/>
          <w:color w:val="auto"/>
        </w:rPr>
        <w:t>直接</w:t>
      </w:r>
      <w:r w:rsidR="00297477" w:rsidRPr="00FD1230">
        <w:rPr>
          <w:rFonts w:eastAsia="KaiTi_GB2312" w:hint="eastAsia"/>
          <w:color w:val="auto"/>
        </w:rPr>
        <w:t>受益；</w:t>
      </w:r>
      <w:r w:rsidR="00800D85" w:rsidRPr="00FD1230">
        <w:rPr>
          <w:rFonts w:eastAsia="KaiTi_GB2312" w:hint="eastAsia"/>
          <w:color w:val="auto"/>
        </w:rPr>
        <w:t>发行</w:t>
      </w:r>
      <w:r w:rsidR="00256FBC" w:rsidRPr="00FD1230">
        <w:rPr>
          <w:rFonts w:eastAsia="KaiTi_GB2312" w:hint="eastAsia"/>
          <w:color w:val="auto"/>
        </w:rPr>
        <w:t>优先股，</w:t>
      </w:r>
      <w:r w:rsidR="00800D85" w:rsidRPr="00FD1230">
        <w:rPr>
          <w:rFonts w:eastAsia="KaiTi_GB2312" w:hint="eastAsia"/>
          <w:color w:val="auto"/>
        </w:rPr>
        <w:t>尤其是</w:t>
      </w:r>
      <w:r w:rsidR="00AF6699" w:rsidRPr="00FD1230">
        <w:rPr>
          <w:rFonts w:eastAsia="KaiTi_GB2312" w:hint="eastAsia"/>
          <w:color w:val="auto"/>
        </w:rPr>
        <w:t>优先股</w:t>
      </w:r>
      <w:r w:rsidR="00800D85" w:rsidRPr="00FD1230">
        <w:rPr>
          <w:rFonts w:eastAsia="KaiTi_GB2312" w:hint="eastAsia"/>
          <w:color w:val="auto"/>
        </w:rPr>
        <w:t>在交易及税收方面的超预期，将使得</w:t>
      </w:r>
      <w:r w:rsidR="00C03B79" w:rsidRPr="00FD1230">
        <w:rPr>
          <w:rFonts w:eastAsia="KaiTi_GB2312" w:hint="eastAsia"/>
          <w:color w:val="auto"/>
        </w:rPr>
        <w:t>银行、建筑、电力、交运等低估值行业</w:t>
      </w:r>
      <w:r w:rsidR="00AF6699" w:rsidRPr="00FD1230">
        <w:rPr>
          <w:rFonts w:eastAsia="KaiTi_GB2312" w:hint="eastAsia"/>
          <w:color w:val="auto"/>
        </w:rPr>
        <w:t>受益。</w:t>
      </w:r>
    </w:p>
    <w:p w:rsidR="00607330" w:rsidRPr="00412A47" w:rsidRDefault="00E22A18" w:rsidP="00607330">
      <w:pPr>
        <w:widowControl/>
        <w:spacing w:after="120" w:line="240" w:lineRule="exact"/>
        <w:ind w:left="3430"/>
        <w:rPr>
          <w:rFonts w:ascii="Arial" w:eastAsia="KaiTi_GB2312" w:hAnsi="Arial" w:cs="Times New Roman"/>
          <w:b/>
          <w:bCs/>
          <w:color w:val="0070C0"/>
          <w:kern w:val="0"/>
          <w:sz w:val="24"/>
          <w:szCs w:val="20"/>
          <w:lang w:val="en-GB"/>
        </w:rPr>
      </w:pPr>
      <w:r w:rsidRPr="00412A47">
        <w:rPr>
          <w:rFonts w:ascii="Arial" w:eastAsia="KaiTi_GB2312" w:hAnsi="Arial" w:cs="Times New Roman" w:hint="eastAsia"/>
          <w:b/>
          <w:bCs/>
          <w:color w:val="0070C0"/>
          <w:kern w:val="0"/>
          <w:sz w:val="24"/>
          <w:szCs w:val="20"/>
          <w:lang w:val="en-GB"/>
        </w:rPr>
        <w:t>1</w:t>
      </w:r>
      <w:r w:rsidR="009655B1" w:rsidRPr="00412A47">
        <w:rPr>
          <w:rFonts w:ascii="Arial" w:eastAsia="KaiTi_GB2312" w:hAnsi="Arial" w:cs="Times New Roman" w:hint="eastAsia"/>
          <w:b/>
          <w:bCs/>
          <w:color w:val="0070C0"/>
          <w:kern w:val="0"/>
          <w:sz w:val="24"/>
          <w:szCs w:val="20"/>
          <w:lang w:val="en-GB"/>
        </w:rPr>
        <w:t>2</w:t>
      </w:r>
      <w:r w:rsidRPr="00412A47">
        <w:rPr>
          <w:rFonts w:ascii="Arial" w:eastAsia="KaiTi_GB2312" w:hAnsi="Arial" w:cs="Times New Roman" w:hint="eastAsia"/>
          <w:b/>
          <w:bCs/>
          <w:color w:val="0070C0"/>
          <w:kern w:val="0"/>
          <w:sz w:val="24"/>
          <w:szCs w:val="20"/>
          <w:lang w:val="en-GB"/>
        </w:rPr>
        <w:t>月基金投资：</w:t>
      </w:r>
      <w:r w:rsidR="00466158" w:rsidRPr="00412A47">
        <w:rPr>
          <w:rFonts w:ascii="Arial" w:eastAsia="KaiTi_GB2312" w:hAnsi="Arial" w:cs="Times New Roman" w:hint="eastAsia"/>
          <w:b/>
          <w:bCs/>
          <w:color w:val="0070C0"/>
          <w:kern w:val="0"/>
          <w:sz w:val="24"/>
          <w:szCs w:val="20"/>
          <w:lang w:val="en-GB"/>
        </w:rPr>
        <w:t>小幅增配蓝筹风格产品</w:t>
      </w:r>
    </w:p>
    <w:p w:rsidR="00624902" w:rsidRPr="00FD1230" w:rsidRDefault="00E22A18" w:rsidP="00624902">
      <w:pPr>
        <w:pStyle w:val="ab"/>
        <w:numPr>
          <w:ilvl w:val="4"/>
          <w:numId w:val="1"/>
        </w:numPr>
        <w:spacing w:after="163"/>
        <w:rPr>
          <w:rFonts w:eastAsia="KaiTi_GB2312"/>
          <w:color w:val="auto"/>
        </w:rPr>
      </w:pPr>
      <w:r w:rsidRPr="00FD1230">
        <w:rPr>
          <w:rFonts w:eastAsia="KaiTi_GB2312" w:hint="eastAsia"/>
          <w:color w:val="auto"/>
        </w:rPr>
        <w:t>综合</w:t>
      </w:r>
      <w:r w:rsidR="000A0200" w:rsidRPr="00FD1230">
        <w:rPr>
          <w:rFonts w:eastAsia="KaiTi_GB2312" w:hint="eastAsia"/>
          <w:color w:val="auto"/>
        </w:rPr>
        <w:t>前述</w:t>
      </w:r>
      <w:r w:rsidR="00DD08B4" w:rsidRPr="00FD1230">
        <w:rPr>
          <w:rFonts w:eastAsia="KaiTi_GB2312" w:hint="eastAsia"/>
          <w:color w:val="auto"/>
        </w:rPr>
        <w:t>各方面因素的</w:t>
      </w:r>
      <w:r w:rsidRPr="00FD1230">
        <w:rPr>
          <w:rFonts w:eastAsia="KaiTi_GB2312" w:hint="eastAsia"/>
          <w:color w:val="auto"/>
        </w:rPr>
        <w:t>分析，在</w:t>
      </w:r>
      <w:r w:rsidR="00DD08B4" w:rsidRPr="00FD1230">
        <w:rPr>
          <w:rFonts w:eastAsia="KaiTi_GB2312" w:hint="eastAsia"/>
          <w:color w:val="auto"/>
        </w:rPr>
        <w:t>12</w:t>
      </w:r>
      <w:r w:rsidR="00DD08B4" w:rsidRPr="00FD1230">
        <w:rPr>
          <w:rFonts w:eastAsia="KaiTi_GB2312" w:hint="eastAsia"/>
          <w:color w:val="auto"/>
        </w:rPr>
        <w:t>月份的</w:t>
      </w:r>
      <w:r w:rsidRPr="00FD1230">
        <w:rPr>
          <w:rFonts w:eastAsia="KaiTi_GB2312" w:hint="eastAsia"/>
          <w:color w:val="auto"/>
        </w:rPr>
        <w:t>具体权益类基金产品的投资操作上，建议</w:t>
      </w:r>
      <w:r w:rsidR="00317EA3">
        <w:rPr>
          <w:rFonts w:eastAsia="KaiTi_GB2312" w:hint="eastAsia"/>
          <w:color w:val="auto"/>
        </w:rPr>
        <w:t>重点回避估值风险</w:t>
      </w:r>
      <w:r w:rsidR="00B43D7E">
        <w:rPr>
          <w:rFonts w:eastAsia="KaiTi_GB2312" w:hint="eastAsia"/>
          <w:color w:val="auto"/>
        </w:rPr>
        <w:t>，</w:t>
      </w:r>
      <w:r w:rsidR="00DD08B4" w:rsidRPr="00FD1230">
        <w:rPr>
          <w:rFonts w:eastAsia="KaiTi_GB2312" w:hint="eastAsia"/>
          <w:color w:val="auto"/>
        </w:rPr>
        <w:t>增配</w:t>
      </w:r>
      <w:r w:rsidR="00235011" w:rsidRPr="00FD1230">
        <w:rPr>
          <w:rFonts w:eastAsia="KaiTi_GB2312" w:hint="eastAsia"/>
          <w:color w:val="auto"/>
        </w:rPr>
        <w:t>具有</w:t>
      </w:r>
      <w:r w:rsidR="004631F4">
        <w:rPr>
          <w:rFonts w:eastAsia="KaiTi_GB2312" w:hint="eastAsia"/>
          <w:color w:val="auto"/>
        </w:rPr>
        <w:t>估值</w:t>
      </w:r>
      <w:r w:rsidR="00235011" w:rsidRPr="00FD1230">
        <w:rPr>
          <w:rFonts w:eastAsia="KaiTi_GB2312" w:hint="eastAsia"/>
          <w:color w:val="auto"/>
        </w:rPr>
        <w:t>安全性</w:t>
      </w:r>
      <w:r w:rsidR="004631F4">
        <w:rPr>
          <w:rFonts w:eastAsia="KaiTi_GB2312" w:hint="eastAsia"/>
          <w:color w:val="auto"/>
        </w:rPr>
        <w:t>、</w:t>
      </w:r>
      <w:r w:rsidR="004D31F9">
        <w:rPr>
          <w:rFonts w:eastAsia="KaiTi_GB2312" w:hint="eastAsia"/>
          <w:color w:val="auto"/>
        </w:rPr>
        <w:t>并</w:t>
      </w:r>
      <w:r w:rsidR="004631F4">
        <w:rPr>
          <w:rFonts w:eastAsia="KaiTi_GB2312" w:hint="eastAsia"/>
          <w:color w:val="auto"/>
        </w:rPr>
        <w:t>受益</w:t>
      </w:r>
      <w:r w:rsidR="004D31F9">
        <w:rPr>
          <w:rFonts w:eastAsia="KaiTi_GB2312" w:hint="eastAsia"/>
          <w:color w:val="auto"/>
        </w:rPr>
        <w:t>两《意见》</w:t>
      </w:r>
      <w:r w:rsidR="00235011" w:rsidRPr="00FD1230">
        <w:rPr>
          <w:rFonts w:eastAsia="KaiTi_GB2312" w:hint="eastAsia"/>
          <w:color w:val="auto"/>
        </w:rPr>
        <w:t>的</w:t>
      </w:r>
      <w:r w:rsidR="00DD08B4" w:rsidRPr="00FD1230">
        <w:rPr>
          <w:rFonts w:eastAsia="KaiTi_GB2312" w:hint="eastAsia"/>
          <w:color w:val="auto"/>
        </w:rPr>
        <w:t>蓝筹风格产品</w:t>
      </w:r>
      <w:r w:rsidRPr="00FD1230">
        <w:rPr>
          <w:rFonts w:eastAsia="KaiTi_GB2312" w:hint="eastAsia"/>
          <w:color w:val="auto"/>
        </w:rPr>
        <w:t>。</w:t>
      </w:r>
    </w:p>
    <w:p w:rsidR="004C2631" w:rsidRPr="00BB0A06" w:rsidRDefault="00B43D7E" w:rsidP="00BB0A06">
      <w:pPr>
        <w:widowControl/>
        <w:spacing w:after="120"/>
        <w:ind w:left="3430"/>
        <w:rPr>
          <w:rFonts w:ascii="Arial" w:eastAsia="KaiTi_GB2312" w:hAnsi="Arial" w:hint="eastAsia"/>
          <w:b/>
          <w:bCs/>
          <w:color w:val="0070C0"/>
          <w:kern w:val="0"/>
          <w:szCs w:val="21"/>
          <w:lang w:val="en-GB"/>
        </w:rPr>
      </w:pPr>
      <w:r>
        <w:rPr>
          <w:rFonts w:ascii="Arial" w:eastAsia="KaiTi_GB2312" w:hAnsi="Arial" w:hint="eastAsia"/>
          <w:b/>
          <w:bCs/>
          <w:color w:val="0070C0"/>
          <w:kern w:val="0"/>
          <w:szCs w:val="21"/>
          <w:lang w:val="en-GB"/>
        </w:rPr>
        <w:t>增配</w:t>
      </w:r>
      <w:r w:rsidR="00BB0A06">
        <w:rPr>
          <w:rFonts w:ascii="Arial" w:eastAsia="KaiTi_GB2312" w:hAnsi="Arial" w:hint="eastAsia"/>
          <w:b/>
          <w:bCs/>
          <w:color w:val="0070C0"/>
          <w:kern w:val="0"/>
          <w:szCs w:val="21"/>
          <w:lang w:val="en-GB"/>
        </w:rPr>
        <w:t>低估值蓝筹风格</w:t>
      </w:r>
      <w:r>
        <w:rPr>
          <w:rFonts w:ascii="Arial" w:eastAsia="KaiTi_GB2312" w:hAnsi="Arial" w:hint="eastAsia"/>
          <w:b/>
          <w:bCs/>
          <w:color w:val="0070C0"/>
          <w:kern w:val="0"/>
          <w:szCs w:val="21"/>
          <w:lang w:val="en-GB"/>
        </w:rPr>
        <w:t>，关注</w:t>
      </w:r>
      <w:r w:rsidR="004014F0">
        <w:rPr>
          <w:rFonts w:ascii="Arial" w:eastAsia="KaiTi_GB2312" w:hAnsi="Arial" w:hint="eastAsia"/>
          <w:b/>
          <w:bCs/>
          <w:color w:val="0070C0"/>
          <w:kern w:val="0"/>
          <w:szCs w:val="21"/>
          <w:lang w:val="en-GB"/>
        </w:rPr>
        <w:t>两《意见》</w:t>
      </w:r>
      <w:r w:rsidR="00C724DD">
        <w:rPr>
          <w:rFonts w:ascii="Arial" w:eastAsia="KaiTi_GB2312" w:hAnsi="Arial" w:hint="eastAsia"/>
          <w:b/>
          <w:bCs/>
          <w:color w:val="0070C0"/>
          <w:kern w:val="0"/>
          <w:szCs w:val="21"/>
          <w:lang w:val="en-GB"/>
        </w:rPr>
        <w:t>受益产品</w:t>
      </w:r>
    </w:p>
    <w:p w:rsidR="004014F0" w:rsidRDefault="009E66D5" w:rsidP="004C2631">
      <w:pPr>
        <w:pStyle w:val="ab"/>
        <w:numPr>
          <w:ilvl w:val="4"/>
          <w:numId w:val="1"/>
        </w:numPr>
        <w:spacing w:after="163"/>
        <w:rPr>
          <w:rFonts w:eastAsia="KaiTi_GB2312" w:hint="eastAsia"/>
          <w:color w:val="auto"/>
        </w:rPr>
      </w:pPr>
      <w:r>
        <w:rPr>
          <w:rFonts w:eastAsia="KaiTi_GB2312" w:hint="eastAsia"/>
          <w:color w:val="auto"/>
        </w:rPr>
        <w:t>无论从控制风险角度出发，还是从两《意见》受益行业</w:t>
      </w:r>
      <w:r>
        <w:rPr>
          <w:rFonts w:eastAsia="KaiTi_GB2312" w:hint="eastAsia"/>
          <w:color w:val="auto"/>
        </w:rPr>
        <w:t>/</w:t>
      </w:r>
      <w:r>
        <w:rPr>
          <w:rFonts w:eastAsia="KaiTi_GB2312" w:hint="eastAsia"/>
          <w:color w:val="auto"/>
        </w:rPr>
        <w:t>板块角度出发，对于侧重投资低估值的蓝筹行业</w:t>
      </w:r>
      <w:r w:rsidR="00755451" w:rsidRPr="00FD1230">
        <w:rPr>
          <w:rFonts w:eastAsia="KaiTi_GB2312" w:hint="eastAsia"/>
          <w:color w:val="auto"/>
        </w:rPr>
        <w:t>（如</w:t>
      </w:r>
      <w:r w:rsidR="00755451">
        <w:rPr>
          <w:rFonts w:eastAsia="KaiTi_GB2312" w:hint="eastAsia"/>
          <w:color w:val="auto"/>
        </w:rPr>
        <w:t>优先股推出重点受益的</w:t>
      </w:r>
      <w:r w:rsidR="00755451" w:rsidRPr="00FD1230">
        <w:rPr>
          <w:rFonts w:eastAsia="KaiTi_GB2312" w:hint="eastAsia"/>
          <w:color w:val="auto"/>
        </w:rPr>
        <w:t>银行</w:t>
      </w:r>
      <w:r w:rsidR="00755451">
        <w:rPr>
          <w:rFonts w:eastAsia="KaiTi_GB2312" w:hint="eastAsia"/>
          <w:color w:val="auto"/>
        </w:rPr>
        <w:t>、电力，低估</w:t>
      </w:r>
      <w:r w:rsidR="00755451">
        <w:rPr>
          <w:rFonts w:eastAsia="KaiTi_GB2312" w:hint="eastAsia"/>
          <w:color w:val="auto"/>
        </w:rPr>
        <w:lastRenderedPageBreak/>
        <w:t>值且高景气度的汽车、农业、</w:t>
      </w:r>
      <w:r w:rsidR="00755451" w:rsidRPr="00FD1230">
        <w:rPr>
          <w:rFonts w:eastAsia="KaiTi_GB2312" w:hint="eastAsia"/>
          <w:color w:val="auto"/>
        </w:rPr>
        <w:t>家电等行业）</w:t>
      </w:r>
      <w:r>
        <w:rPr>
          <w:rFonts w:eastAsia="KaiTi_GB2312" w:hint="eastAsia"/>
          <w:color w:val="auto"/>
        </w:rPr>
        <w:t>以及券商行业的基金产品，可予以适当的增持。</w:t>
      </w:r>
    </w:p>
    <w:p w:rsidR="00E22A18" w:rsidRDefault="00E22A18" w:rsidP="004C2631">
      <w:pPr>
        <w:pStyle w:val="ab"/>
        <w:numPr>
          <w:ilvl w:val="4"/>
          <w:numId w:val="1"/>
        </w:numPr>
        <w:spacing w:after="163"/>
        <w:rPr>
          <w:rFonts w:eastAsia="KaiTi_GB2312" w:hint="eastAsia"/>
          <w:color w:val="auto"/>
        </w:rPr>
      </w:pPr>
      <w:r w:rsidRPr="00FD1230">
        <w:rPr>
          <w:rFonts w:eastAsia="KaiTi_GB2312" w:hint="eastAsia"/>
          <w:color w:val="auto"/>
        </w:rPr>
        <w:t>具体相关产品</w:t>
      </w:r>
      <w:r w:rsidR="005E1EEB">
        <w:rPr>
          <w:rFonts w:eastAsia="KaiTi_GB2312" w:hint="eastAsia"/>
          <w:color w:val="auto"/>
        </w:rPr>
        <w:t>重点推荐</w:t>
      </w:r>
      <w:r w:rsidR="003D5F17">
        <w:rPr>
          <w:rFonts w:eastAsia="KaiTi_GB2312" w:hint="eastAsia"/>
          <w:color w:val="auto"/>
        </w:rPr>
        <w:t>南方隆元产业主题、</w:t>
      </w:r>
      <w:r w:rsidR="003D5F17" w:rsidRPr="00FD1230">
        <w:rPr>
          <w:rFonts w:eastAsia="KaiTi_GB2312" w:hint="eastAsia"/>
          <w:color w:val="auto"/>
        </w:rPr>
        <w:t>兴</w:t>
      </w:r>
      <w:r w:rsidR="003D5F17">
        <w:rPr>
          <w:rFonts w:eastAsia="KaiTi_GB2312" w:hint="eastAsia"/>
          <w:color w:val="auto"/>
        </w:rPr>
        <w:t>全商业模式、</w:t>
      </w:r>
      <w:r w:rsidRPr="00FD1230">
        <w:rPr>
          <w:rFonts w:eastAsia="KaiTi_GB2312" w:hint="eastAsia"/>
          <w:color w:val="auto"/>
        </w:rPr>
        <w:t>博时主题行业、</w:t>
      </w:r>
      <w:r w:rsidR="005E1EEB" w:rsidRPr="00FD1230">
        <w:rPr>
          <w:rFonts w:eastAsia="KaiTi_GB2312" w:hint="eastAsia"/>
          <w:color w:val="auto"/>
        </w:rPr>
        <w:t>中欧价值发现</w:t>
      </w:r>
      <w:r w:rsidR="003D5F17">
        <w:rPr>
          <w:rFonts w:eastAsia="KaiTi_GB2312" w:hint="eastAsia"/>
          <w:color w:val="auto"/>
        </w:rPr>
        <w:t>等基金</w:t>
      </w:r>
      <w:r w:rsidR="005E1EEB">
        <w:rPr>
          <w:rFonts w:eastAsia="KaiTi_GB2312" w:hint="eastAsia"/>
          <w:color w:val="auto"/>
        </w:rPr>
        <w:t>，另</w:t>
      </w:r>
      <w:r w:rsidR="00A57777" w:rsidRPr="00FD1230">
        <w:rPr>
          <w:rFonts w:eastAsia="KaiTi_GB2312" w:hint="eastAsia"/>
          <w:color w:val="auto"/>
        </w:rPr>
        <w:t>博时卓越品牌</w:t>
      </w:r>
      <w:r w:rsidR="00A57777">
        <w:rPr>
          <w:rFonts w:eastAsia="KaiTi_GB2312" w:hint="eastAsia"/>
          <w:color w:val="auto"/>
        </w:rPr>
        <w:t>、</w:t>
      </w:r>
      <w:r w:rsidR="00755451">
        <w:rPr>
          <w:rFonts w:eastAsia="KaiTi_GB2312" w:hint="eastAsia"/>
          <w:color w:val="auto"/>
        </w:rPr>
        <w:t>新华优选分红、华安行业优选、大成创新成长</w:t>
      </w:r>
      <w:r w:rsidR="005E1EEB">
        <w:rPr>
          <w:rFonts w:eastAsia="KaiTi_GB2312" w:hint="eastAsia"/>
          <w:color w:val="auto"/>
        </w:rPr>
        <w:t>、</w:t>
      </w:r>
      <w:r w:rsidR="005E1EEB" w:rsidRPr="00FD1230">
        <w:rPr>
          <w:rFonts w:eastAsia="KaiTi_GB2312" w:hint="eastAsia"/>
          <w:color w:val="auto"/>
        </w:rPr>
        <w:t>汇添富价值精选</w:t>
      </w:r>
      <w:r w:rsidRPr="00FD1230">
        <w:rPr>
          <w:rFonts w:eastAsia="KaiTi_GB2312" w:hint="eastAsia"/>
          <w:color w:val="auto"/>
        </w:rPr>
        <w:t>等</w:t>
      </w:r>
      <w:r w:rsidR="003D5F17">
        <w:rPr>
          <w:rFonts w:eastAsia="KaiTi_GB2312" w:hint="eastAsia"/>
          <w:color w:val="auto"/>
        </w:rPr>
        <w:t>基金</w:t>
      </w:r>
      <w:r w:rsidR="005E1EEB">
        <w:rPr>
          <w:rFonts w:eastAsia="KaiTi_GB2312" w:hint="eastAsia"/>
          <w:color w:val="auto"/>
        </w:rPr>
        <w:t>亦值得关注</w:t>
      </w:r>
      <w:r w:rsidRPr="00FD1230">
        <w:rPr>
          <w:rFonts w:eastAsia="KaiTi_GB2312" w:hint="eastAsia"/>
          <w:color w:val="auto"/>
        </w:rPr>
        <w:t>。</w:t>
      </w:r>
    </w:p>
    <w:tbl>
      <w:tblPr>
        <w:tblW w:w="1077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72"/>
        <w:gridCol w:w="227"/>
        <w:gridCol w:w="5272"/>
      </w:tblGrid>
      <w:tr w:rsidR="00712570" w:rsidRPr="00837084" w:rsidTr="002B06AE">
        <w:trPr>
          <w:cantSplit/>
          <w:trHeight w:val="368"/>
        </w:trPr>
        <w:tc>
          <w:tcPr>
            <w:tcW w:w="5272" w:type="dxa"/>
            <w:tcBorders>
              <w:top w:val="single" w:sz="6" w:space="0" w:color="FF6600"/>
              <w:bottom w:val="single" w:sz="6" w:space="0" w:color="FF6600"/>
            </w:tcBorders>
            <w:shd w:val="clear" w:color="auto" w:fill="auto"/>
            <w:vAlign w:val="center"/>
          </w:tcPr>
          <w:p w:rsidR="00712570" w:rsidRDefault="00712570" w:rsidP="00DB5A08">
            <w:pPr>
              <w:pStyle w:val="SubTitleLargeTable"/>
              <w:pBdr>
                <w:top w:val="none" w:sz="0" w:space="0" w:color="auto"/>
              </w:pBdr>
            </w:pPr>
            <w:r w:rsidRPr="006D7395">
              <w:rPr>
                <w:rFonts w:eastAsia="KaiTi_GB2312"/>
                <w:color w:val="FF6600"/>
              </w:rPr>
              <w:t>图表</w:t>
            </w:r>
            <w:r w:rsidR="00DB5A08">
              <w:rPr>
                <w:rFonts w:eastAsia="KaiTi_GB2312" w:hint="eastAsia"/>
                <w:color w:val="FF6600"/>
              </w:rPr>
              <w:t>1</w:t>
            </w:r>
            <w:r w:rsidRPr="006D7395">
              <w:rPr>
                <w:rFonts w:eastAsia="KaiTi_GB2312" w:hint="eastAsia"/>
                <w:color w:val="FF6600"/>
              </w:rPr>
              <w:t>：</w:t>
            </w:r>
            <w:r w:rsidR="006826D5">
              <w:rPr>
                <w:rFonts w:eastAsia="KaiTi_GB2312" w:hint="eastAsia"/>
                <w:color w:val="FF6600"/>
              </w:rPr>
              <w:t>南方隆元产业主题</w:t>
            </w:r>
            <w:r w:rsidRPr="006D7395">
              <w:rPr>
                <w:rFonts w:eastAsia="KaiTi_GB2312" w:hint="eastAsia"/>
                <w:color w:val="FF6600"/>
              </w:rPr>
              <w:t>基金</w:t>
            </w:r>
          </w:p>
        </w:tc>
        <w:tc>
          <w:tcPr>
            <w:tcW w:w="227" w:type="dxa"/>
            <w:vAlign w:val="center"/>
          </w:tcPr>
          <w:p w:rsidR="00712570" w:rsidRPr="00837084" w:rsidRDefault="00712570" w:rsidP="002B06AE">
            <w:pPr>
              <w:jc w:val="center"/>
            </w:pPr>
          </w:p>
        </w:tc>
        <w:tc>
          <w:tcPr>
            <w:tcW w:w="5272" w:type="dxa"/>
            <w:tcBorders>
              <w:top w:val="single" w:sz="6" w:space="0" w:color="FF6600"/>
              <w:bottom w:val="single" w:sz="6" w:space="0" w:color="FF6600"/>
            </w:tcBorders>
            <w:shd w:val="clear" w:color="auto" w:fill="auto"/>
            <w:vAlign w:val="center"/>
          </w:tcPr>
          <w:p w:rsidR="00712570" w:rsidRPr="00F12D44" w:rsidRDefault="00712570" w:rsidP="00DB5A08">
            <w:pPr>
              <w:pStyle w:val="SubTitleLargeTable"/>
              <w:pBdr>
                <w:top w:val="none" w:sz="0" w:space="0" w:color="auto"/>
              </w:pBdr>
            </w:pPr>
            <w:r w:rsidRPr="006D7395">
              <w:rPr>
                <w:rFonts w:eastAsia="KaiTi_GB2312"/>
                <w:color w:val="FF6600"/>
              </w:rPr>
              <w:t>图表</w:t>
            </w:r>
            <w:r w:rsidR="00DB5A08">
              <w:rPr>
                <w:rFonts w:eastAsia="KaiTi_GB2312" w:hint="eastAsia"/>
                <w:color w:val="FF6600"/>
              </w:rPr>
              <w:t>2</w:t>
            </w:r>
            <w:r w:rsidRPr="006D7395">
              <w:rPr>
                <w:rFonts w:eastAsia="KaiTi_GB2312" w:hint="eastAsia"/>
                <w:color w:val="FF6600"/>
              </w:rPr>
              <w:t>：</w:t>
            </w:r>
            <w:r w:rsidR="006826D5">
              <w:rPr>
                <w:rFonts w:eastAsia="KaiTi_GB2312" w:hint="eastAsia"/>
                <w:color w:val="FF6600"/>
              </w:rPr>
              <w:t>兴全商业模式</w:t>
            </w:r>
            <w:r w:rsidRPr="006D7395">
              <w:rPr>
                <w:rFonts w:eastAsia="KaiTi_GB2312" w:hint="eastAsia"/>
                <w:color w:val="FF6600"/>
              </w:rPr>
              <w:t>基金</w:t>
            </w:r>
          </w:p>
        </w:tc>
      </w:tr>
      <w:tr w:rsidR="00712570" w:rsidRPr="00837084" w:rsidTr="002B06AE">
        <w:trPr>
          <w:cantSplit/>
          <w:trHeight w:val="3016"/>
        </w:trPr>
        <w:tc>
          <w:tcPr>
            <w:tcW w:w="5272" w:type="dxa"/>
            <w:tcBorders>
              <w:top w:val="single" w:sz="6" w:space="0" w:color="FF6600"/>
              <w:bottom w:val="single" w:sz="6" w:space="0" w:color="FF6600"/>
            </w:tcBorders>
            <w:shd w:val="clear" w:color="auto" w:fill="auto"/>
            <w:vAlign w:val="center"/>
          </w:tcPr>
          <w:p w:rsidR="00712570" w:rsidRDefault="006F6811" w:rsidP="002B06AE">
            <w:pPr>
              <w:jc w:val="center"/>
            </w:pPr>
            <w:r>
              <w:object w:dxaOrig="7620" w:dyaOrig="3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263.25pt;height:118.5pt" o:ole="">
                  <v:imagedata r:id="rId7" o:title=""/>
                </v:shape>
                <o:OLEObject Type="Embed" ProgID="PBrush" ShapeID="_x0000_i1029" DrawAspect="Content" ObjectID="_1447439726" r:id="rId8"/>
              </w:object>
            </w:r>
          </w:p>
        </w:tc>
        <w:tc>
          <w:tcPr>
            <w:tcW w:w="227" w:type="dxa"/>
            <w:vAlign w:val="center"/>
          </w:tcPr>
          <w:p w:rsidR="00712570" w:rsidRPr="00837084" w:rsidRDefault="00712570" w:rsidP="002B06AE">
            <w:pPr>
              <w:jc w:val="center"/>
            </w:pPr>
          </w:p>
        </w:tc>
        <w:tc>
          <w:tcPr>
            <w:tcW w:w="5272" w:type="dxa"/>
            <w:tcBorders>
              <w:top w:val="single" w:sz="6" w:space="0" w:color="FF6600"/>
              <w:bottom w:val="single" w:sz="6" w:space="0" w:color="FF6600"/>
            </w:tcBorders>
            <w:shd w:val="clear" w:color="auto" w:fill="auto"/>
            <w:vAlign w:val="center"/>
          </w:tcPr>
          <w:p w:rsidR="00712570" w:rsidRPr="00F12D44" w:rsidRDefault="00CE65F5" w:rsidP="002B06AE">
            <w:pPr>
              <w:jc w:val="center"/>
            </w:pPr>
            <w:r>
              <w:object w:dxaOrig="7530" w:dyaOrig="3375">
                <v:shape id="_x0000_i1030" type="#_x0000_t75" style="width:263.25pt;height:117.75pt" o:ole="">
                  <v:imagedata r:id="rId9" o:title=""/>
                </v:shape>
                <o:OLEObject Type="Embed" ProgID="PBrush" ShapeID="_x0000_i1030" DrawAspect="Content" ObjectID="_1447439727" r:id="rId10"/>
              </w:object>
            </w:r>
          </w:p>
        </w:tc>
      </w:tr>
    </w:tbl>
    <w:p w:rsidR="00712570" w:rsidRPr="003F6CBD" w:rsidRDefault="00712570" w:rsidP="00712570">
      <w:pPr>
        <w:pStyle w:val="FootnoteNoline"/>
        <w:ind w:left="0"/>
        <w:rPr>
          <w:color w:val="FF6600"/>
        </w:rPr>
      </w:pPr>
      <w:r w:rsidRPr="003F6CBD">
        <w:rPr>
          <w:rFonts w:eastAsia="KaiTi_GB2312" w:hint="eastAsia"/>
          <w:color w:val="FF6600"/>
        </w:rPr>
        <w:t>来源：凯石财富工场</w:t>
      </w:r>
      <w:r w:rsidRPr="003F6CBD">
        <w:rPr>
          <w:rFonts w:eastAsia="KaiTi_GB2312" w:hint="eastAsia"/>
          <w:color w:val="FF6600"/>
        </w:rPr>
        <w:t xml:space="preserve"> wind </w:t>
      </w:r>
    </w:p>
    <w:tbl>
      <w:tblPr>
        <w:tblW w:w="1077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72"/>
        <w:gridCol w:w="227"/>
        <w:gridCol w:w="5272"/>
      </w:tblGrid>
      <w:tr w:rsidR="00712570" w:rsidRPr="00837084" w:rsidTr="002B06AE">
        <w:trPr>
          <w:cantSplit/>
          <w:trHeight w:val="368"/>
        </w:trPr>
        <w:tc>
          <w:tcPr>
            <w:tcW w:w="5272" w:type="dxa"/>
            <w:tcBorders>
              <w:top w:val="single" w:sz="6" w:space="0" w:color="FF6600"/>
              <w:bottom w:val="single" w:sz="6" w:space="0" w:color="FF6600"/>
            </w:tcBorders>
            <w:shd w:val="clear" w:color="auto" w:fill="auto"/>
            <w:vAlign w:val="center"/>
          </w:tcPr>
          <w:p w:rsidR="00712570" w:rsidRDefault="00712570" w:rsidP="00DB5A08">
            <w:pPr>
              <w:pStyle w:val="SubTitleLargeTable"/>
              <w:pBdr>
                <w:top w:val="none" w:sz="0" w:space="0" w:color="auto"/>
              </w:pBdr>
            </w:pPr>
            <w:r w:rsidRPr="006D7395">
              <w:rPr>
                <w:rFonts w:eastAsia="KaiTi_GB2312"/>
                <w:color w:val="FF6600"/>
              </w:rPr>
              <w:t>图表</w:t>
            </w:r>
            <w:r w:rsidR="00DB5A08">
              <w:rPr>
                <w:rFonts w:eastAsia="KaiTi_GB2312" w:hint="eastAsia"/>
                <w:color w:val="FF6600"/>
              </w:rPr>
              <w:t>3</w:t>
            </w:r>
            <w:r w:rsidRPr="006D7395">
              <w:rPr>
                <w:rFonts w:eastAsia="KaiTi_GB2312" w:hint="eastAsia"/>
                <w:color w:val="FF6600"/>
              </w:rPr>
              <w:t>：</w:t>
            </w:r>
            <w:r w:rsidR="006826D5">
              <w:rPr>
                <w:rFonts w:eastAsia="KaiTi_GB2312" w:hint="eastAsia"/>
                <w:color w:val="FF6600"/>
              </w:rPr>
              <w:t>博时主题行业</w:t>
            </w:r>
            <w:r w:rsidRPr="006D7395">
              <w:rPr>
                <w:rFonts w:eastAsia="KaiTi_GB2312" w:hint="eastAsia"/>
                <w:color w:val="FF6600"/>
              </w:rPr>
              <w:t>基金</w:t>
            </w:r>
          </w:p>
        </w:tc>
        <w:tc>
          <w:tcPr>
            <w:tcW w:w="227" w:type="dxa"/>
            <w:vAlign w:val="center"/>
          </w:tcPr>
          <w:p w:rsidR="00712570" w:rsidRPr="00837084" w:rsidRDefault="00712570" w:rsidP="002B06AE">
            <w:pPr>
              <w:jc w:val="center"/>
            </w:pPr>
          </w:p>
        </w:tc>
        <w:tc>
          <w:tcPr>
            <w:tcW w:w="5272" w:type="dxa"/>
            <w:tcBorders>
              <w:top w:val="single" w:sz="6" w:space="0" w:color="FF6600"/>
              <w:bottom w:val="single" w:sz="6" w:space="0" w:color="FF6600"/>
            </w:tcBorders>
            <w:shd w:val="clear" w:color="auto" w:fill="auto"/>
            <w:vAlign w:val="center"/>
          </w:tcPr>
          <w:p w:rsidR="00712570" w:rsidRPr="00F12D44" w:rsidRDefault="00712570" w:rsidP="00DB5A08">
            <w:pPr>
              <w:pStyle w:val="SubTitleLargeTable"/>
              <w:pBdr>
                <w:top w:val="none" w:sz="0" w:space="0" w:color="auto"/>
              </w:pBdr>
            </w:pPr>
            <w:r w:rsidRPr="006D7395">
              <w:rPr>
                <w:rFonts w:eastAsia="KaiTi_GB2312"/>
                <w:color w:val="FF6600"/>
              </w:rPr>
              <w:t>图表</w:t>
            </w:r>
            <w:r w:rsidR="00DB5A08">
              <w:rPr>
                <w:rFonts w:eastAsia="KaiTi_GB2312" w:hint="eastAsia"/>
                <w:color w:val="FF6600"/>
              </w:rPr>
              <w:t>4</w:t>
            </w:r>
            <w:r w:rsidRPr="006D7395">
              <w:rPr>
                <w:rFonts w:eastAsia="KaiTi_GB2312" w:hint="eastAsia"/>
                <w:color w:val="FF6600"/>
              </w:rPr>
              <w:t>：</w:t>
            </w:r>
            <w:r w:rsidR="006826D5">
              <w:rPr>
                <w:rFonts w:eastAsia="KaiTi_GB2312" w:hint="eastAsia"/>
                <w:color w:val="FF6600"/>
              </w:rPr>
              <w:t>中欧价值发现</w:t>
            </w:r>
            <w:r w:rsidRPr="006D7395">
              <w:rPr>
                <w:rFonts w:eastAsia="KaiTi_GB2312" w:hint="eastAsia"/>
                <w:color w:val="FF6600"/>
              </w:rPr>
              <w:t>基金</w:t>
            </w:r>
          </w:p>
        </w:tc>
      </w:tr>
      <w:tr w:rsidR="00712570" w:rsidRPr="00837084" w:rsidTr="002B06AE">
        <w:trPr>
          <w:cantSplit/>
          <w:trHeight w:val="3016"/>
        </w:trPr>
        <w:tc>
          <w:tcPr>
            <w:tcW w:w="5272" w:type="dxa"/>
            <w:tcBorders>
              <w:top w:val="single" w:sz="6" w:space="0" w:color="FF6600"/>
              <w:bottom w:val="single" w:sz="6" w:space="0" w:color="FF6600"/>
            </w:tcBorders>
            <w:shd w:val="clear" w:color="auto" w:fill="auto"/>
            <w:vAlign w:val="center"/>
          </w:tcPr>
          <w:p w:rsidR="00712570" w:rsidRDefault="005F0668" w:rsidP="002B06AE">
            <w:pPr>
              <w:jc w:val="center"/>
            </w:pPr>
            <w:r>
              <w:object w:dxaOrig="7560" w:dyaOrig="3300">
                <v:shape id="_x0000_i1027" type="#_x0000_t75" style="width:263.25pt;height:114.75pt" o:ole="">
                  <v:imagedata r:id="rId11" o:title=""/>
                </v:shape>
                <o:OLEObject Type="Embed" ProgID="PBrush" ShapeID="_x0000_i1027" DrawAspect="Content" ObjectID="_1447439728" r:id="rId12"/>
              </w:object>
            </w:r>
          </w:p>
        </w:tc>
        <w:tc>
          <w:tcPr>
            <w:tcW w:w="227" w:type="dxa"/>
            <w:vAlign w:val="center"/>
          </w:tcPr>
          <w:p w:rsidR="00712570" w:rsidRPr="00837084" w:rsidRDefault="00712570" w:rsidP="002B06AE">
            <w:pPr>
              <w:jc w:val="center"/>
            </w:pPr>
          </w:p>
        </w:tc>
        <w:tc>
          <w:tcPr>
            <w:tcW w:w="5272" w:type="dxa"/>
            <w:tcBorders>
              <w:top w:val="single" w:sz="6" w:space="0" w:color="FF6600"/>
              <w:bottom w:val="single" w:sz="6" w:space="0" w:color="FF6600"/>
            </w:tcBorders>
            <w:shd w:val="clear" w:color="auto" w:fill="auto"/>
            <w:vAlign w:val="center"/>
          </w:tcPr>
          <w:p w:rsidR="00712570" w:rsidRPr="00F12D44" w:rsidRDefault="00514D5D" w:rsidP="002B06AE">
            <w:pPr>
              <w:jc w:val="center"/>
            </w:pPr>
            <w:r>
              <w:object w:dxaOrig="7530" w:dyaOrig="3330">
                <v:shape id="_x0000_i1028" type="#_x0000_t75" style="width:263.25pt;height:116.25pt" o:ole="">
                  <v:imagedata r:id="rId13" o:title=""/>
                </v:shape>
                <o:OLEObject Type="Embed" ProgID="PBrush" ShapeID="_x0000_i1028" DrawAspect="Content" ObjectID="_1447439729" r:id="rId14"/>
              </w:object>
            </w:r>
          </w:p>
        </w:tc>
      </w:tr>
    </w:tbl>
    <w:p w:rsidR="00712570" w:rsidRPr="003F6CBD" w:rsidRDefault="00712570" w:rsidP="00712570">
      <w:pPr>
        <w:pStyle w:val="FootnoteNoline"/>
        <w:ind w:left="0"/>
        <w:rPr>
          <w:color w:val="FF6600"/>
        </w:rPr>
      </w:pPr>
      <w:r w:rsidRPr="003F6CBD">
        <w:rPr>
          <w:rFonts w:eastAsia="KaiTi_GB2312" w:hint="eastAsia"/>
          <w:color w:val="FF6600"/>
        </w:rPr>
        <w:t>来源：凯石财富工场</w:t>
      </w:r>
      <w:r w:rsidRPr="003F6CBD">
        <w:rPr>
          <w:rFonts w:eastAsia="KaiTi_GB2312" w:hint="eastAsia"/>
          <w:color w:val="FF6600"/>
        </w:rPr>
        <w:t xml:space="preserve"> wind </w:t>
      </w:r>
    </w:p>
    <w:p w:rsidR="000A6127" w:rsidRPr="00C871C5" w:rsidRDefault="00CF0B9B" w:rsidP="00C871C5">
      <w:pPr>
        <w:widowControl/>
        <w:spacing w:after="120"/>
        <w:ind w:left="3430"/>
        <w:rPr>
          <w:rFonts w:ascii="Arial" w:eastAsia="KaiTi_GB2312" w:hAnsi="Arial"/>
          <w:b/>
          <w:bCs/>
          <w:color w:val="0070C0"/>
          <w:kern w:val="0"/>
          <w:szCs w:val="21"/>
          <w:lang w:val="en-GB"/>
        </w:rPr>
      </w:pPr>
      <w:r>
        <w:rPr>
          <w:rFonts w:ascii="Arial" w:eastAsia="KaiTi_GB2312" w:hAnsi="Arial"/>
          <w:b/>
          <w:bCs/>
          <w:color w:val="0070C0"/>
          <w:kern w:val="0"/>
          <w:szCs w:val="21"/>
          <w:lang w:val="en-GB"/>
        </w:rPr>
        <w:t>成长风格基金：</w:t>
      </w:r>
      <w:r w:rsidR="00137B68">
        <w:rPr>
          <w:rFonts w:ascii="Arial" w:eastAsia="KaiTi_GB2312" w:hAnsi="Arial"/>
          <w:b/>
          <w:bCs/>
          <w:color w:val="0070C0"/>
          <w:kern w:val="0"/>
          <w:szCs w:val="21"/>
          <w:lang w:val="en-GB"/>
        </w:rPr>
        <w:t>重点</w:t>
      </w:r>
      <w:r w:rsidR="008C38DE">
        <w:rPr>
          <w:rFonts w:ascii="Arial" w:eastAsia="KaiTi_GB2312" w:hAnsi="Arial"/>
          <w:b/>
          <w:bCs/>
          <w:color w:val="0070C0"/>
          <w:kern w:val="0"/>
          <w:szCs w:val="21"/>
          <w:lang w:val="en-GB"/>
        </w:rPr>
        <w:t>投资</w:t>
      </w:r>
      <w:r w:rsidR="00137B68">
        <w:rPr>
          <w:rFonts w:ascii="Arial" w:eastAsia="KaiTi_GB2312" w:hAnsi="Arial"/>
          <w:b/>
          <w:bCs/>
          <w:color w:val="0070C0"/>
          <w:kern w:val="0"/>
          <w:szCs w:val="21"/>
          <w:lang w:val="en-GB"/>
        </w:rPr>
        <w:t>保持高</w:t>
      </w:r>
      <w:r w:rsidR="008C38DE">
        <w:rPr>
          <w:rFonts w:ascii="Arial" w:eastAsia="KaiTi_GB2312" w:hAnsi="Arial"/>
          <w:b/>
          <w:bCs/>
          <w:color w:val="0070C0"/>
          <w:kern w:val="0"/>
          <w:szCs w:val="21"/>
          <w:lang w:val="en-GB"/>
        </w:rPr>
        <w:t>景气度、</w:t>
      </w:r>
      <w:r w:rsidR="00C871C5">
        <w:rPr>
          <w:rFonts w:ascii="Arial" w:eastAsia="KaiTi_GB2312" w:hAnsi="Arial"/>
          <w:b/>
          <w:bCs/>
          <w:color w:val="0070C0"/>
          <w:kern w:val="0"/>
          <w:szCs w:val="21"/>
          <w:lang w:val="en-GB"/>
        </w:rPr>
        <w:t>调整相对充分</w:t>
      </w:r>
      <w:r w:rsidR="00137B68">
        <w:rPr>
          <w:rFonts w:ascii="Arial" w:eastAsia="KaiTi_GB2312" w:hAnsi="Arial"/>
          <w:b/>
          <w:bCs/>
          <w:color w:val="0070C0"/>
          <w:kern w:val="0"/>
          <w:szCs w:val="21"/>
          <w:lang w:val="en-GB"/>
        </w:rPr>
        <w:t>行业产品</w:t>
      </w:r>
    </w:p>
    <w:p w:rsidR="00D44A82" w:rsidRDefault="00137B68" w:rsidP="00137B68">
      <w:pPr>
        <w:pStyle w:val="ab"/>
        <w:numPr>
          <w:ilvl w:val="4"/>
          <w:numId w:val="1"/>
        </w:numPr>
        <w:spacing w:after="163"/>
        <w:rPr>
          <w:rFonts w:eastAsia="KaiTi_GB2312" w:hint="eastAsia"/>
          <w:color w:val="auto"/>
        </w:rPr>
      </w:pPr>
      <w:r>
        <w:rPr>
          <w:rFonts w:eastAsia="KaiTi_GB2312" w:hint="eastAsia"/>
          <w:color w:val="auto"/>
        </w:rPr>
        <w:t>对于成长风格基金，同样建议控制估值风险，重点选择投资行业景气度维持高位、且短期调整相对充分行业的基金产品，具体行业如医药、大众消费、电子等行业板块，</w:t>
      </w:r>
      <w:r w:rsidR="00E22A18" w:rsidRPr="00FD1230">
        <w:rPr>
          <w:rFonts w:eastAsia="KaiTi_GB2312" w:hint="eastAsia"/>
          <w:color w:val="auto"/>
        </w:rPr>
        <w:t>相关重点产品如</w:t>
      </w:r>
      <w:r>
        <w:rPr>
          <w:rFonts w:eastAsia="KaiTi_GB2312" w:hint="eastAsia"/>
          <w:color w:val="auto"/>
        </w:rPr>
        <w:t>汇添富社会责任、</w:t>
      </w:r>
      <w:r w:rsidR="003951B9" w:rsidRPr="00FD1230">
        <w:rPr>
          <w:rFonts w:eastAsia="KaiTi_GB2312" w:hint="eastAsia"/>
          <w:color w:val="auto"/>
        </w:rPr>
        <w:t>中银中国、嘉实</w:t>
      </w:r>
      <w:r w:rsidR="003951B9">
        <w:rPr>
          <w:rFonts w:eastAsia="KaiTi_GB2312" w:hint="eastAsia"/>
          <w:color w:val="auto"/>
        </w:rPr>
        <w:t>主题、国富潜力组合、华夏红利</w:t>
      </w:r>
      <w:r w:rsidR="00E22A18" w:rsidRPr="00FD1230">
        <w:rPr>
          <w:rFonts w:eastAsia="KaiTi_GB2312" w:hint="eastAsia"/>
          <w:color w:val="auto"/>
        </w:rPr>
        <w:t>等</w:t>
      </w:r>
      <w:r w:rsidR="00EF3533">
        <w:rPr>
          <w:rFonts w:eastAsia="KaiTi_GB2312" w:hint="eastAsia"/>
          <w:color w:val="auto"/>
        </w:rPr>
        <w:t>基金</w:t>
      </w:r>
      <w:r w:rsidR="00E22A18" w:rsidRPr="00FD1230">
        <w:rPr>
          <w:rFonts w:eastAsia="KaiTi_GB2312" w:hint="eastAsia"/>
          <w:color w:val="auto"/>
        </w:rPr>
        <w:t>。</w:t>
      </w:r>
    </w:p>
    <w:p w:rsidR="006A79C1" w:rsidRPr="00833B8A" w:rsidRDefault="002227B7" w:rsidP="00137B68">
      <w:pPr>
        <w:pStyle w:val="ab"/>
        <w:numPr>
          <w:ilvl w:val="4"/>
          <w:numId w:val="1"/>
        </w:numPr>
        <w:spacing w:after="163"/>
        <w:rPr>
          <w:rFonts w:eastAsia="KaiTi_GB2312" w:hint="eastAsia"/>
          <w:color w:val="auto"/>
        </w:rPr>
      </w:pPr>
      <w:r w:rsidRPr="00833B8A">
        <w:rPr>
          <w:rFonts w:eastAsia="KaiTi_GB2312" w:hint="eastAsia"/>
          <w:color w:val="auto"/>
        </w:rPr>
        <w:t>对于投资改革重点领域的高成长</w:t>
      </w:r>
      <w:r w:rsidR="00AA5B9A">
        <w:rPr>
          <w:rFonts w:eastAsia="KaiTi_GB2312" w:hint="eastAsia"/>
          <w:color w:val="auto"/>
        </w:rPr>
        <w:t>主题</w:t>
      </w:r>
      <w:r w:rsidRPr="00833B8A">
        <w:rPr>
          <w:rFonts w:eastAsia="KaiTi_GB2312" w:hint="eastAsia"/>
          <w:color w:val="auto"/>
        </w:rPr>
        <w:t>基金，</w:t>
      </w:r>
      <w:r w:rsidR="00833B8A" w:rsidRPr="00833B8A">
        <w:rPr>
          <w:rFonts w:eastAsia="KaiTi_GB2312" w:hint="eastAsia"/>
          <w:color w:val="auto"/>
        </w:rPr>
        <w:t>考虑到相关主题的短期投资价值已有所透支，以及阶段</w:t>
      </w:r>
      <w:r w:rsidR="00833B8A" w:rsidRPr="00833B8A">
        <w:rPr>
          <w:rFonts w:eastAsia="KaiTi_GB2312" w:hint="eastAsia"/>
          <w:color w:val="auto"/>
        </w:rPr>
        <w:t>ipo</w:t>
      </w:r>
      <w:r w:rsidR="00833B8A" w:rsidRPr="00833B8A">
        <w:rPr>
          <w:rFonts w:eastAsia="KaiTi_GB2312" w:hint="eastAsia"/>
          <w:color w:val="auto"/>
        </w:rPr>
        <w:t>重启的可能冲击，建议</w:t>
      </w:r>
      <w:r w:rsidR="006E7B5E">
        <w:rPr>
          <w:rFonts w:eastAsia="KaiTi_GB2312" w:hint="eastAsia"/>
          <w:color w:val="auto"/>
        </w:rPr>
        <w:t>阶段</w:t>
      </w:r>
      <w:r w:rsidR="00833B8A" w:rsidRPr="00833B8A">
        <w:rPr>
          <w:rFonts w:eastAsia="KaiTi_GB2312" w:hint="eastAsia"/>
          <w:color w:val="auto"/>
        </w:rPr>
        <w:t>适当低配。</w:t>
      </w:r>
      <w:r w:rsidR="006E7B5E">
        <w:rPr>
          <w:rFonts w:eastAsia="KaiTi_GB2312" w:hint="eastAsia"/>
          <w:color w:val="auto"/>
        </w:rPr>
        <w:t>而且，</w:t>
      </w:r>
      <w:r w:rsidR="00833B8A" w:rsidRPr="00833B8A">
        <w:rPr>
          <w:rFonts w:eastAsia="KaiTi_GB2312" w:hint="eastAsia"/>
          <w:color w:val="auto"/>
        </w:rPr>
        <w:t>对于此类风格产品，</w:t>
      </w:r>
      <w:r w:rsidR="006E7B5E">
        <w:rPr>
          <w:rFonts w:eastAsia="KaiTi_GB2312" w:hint="eastAsia"/>
          <w:color w:val="auto"/>
        </w:rPr>
        <w:t>建议一方面选择选股能力突出基金经理，</w:t>
      </w:r>
      <w:r w:rsidR="00EF3533" w:rsidRPr="00833B8A">
        <w:rPr>
          <w:rFonts w:eastAsia="KaiTi_GB2312" w:hint="eastAsia"/>
          <w:color w:val="auto"/>
        </w:rPr>
        <w:t>另一方面选择股票仓位相对适中的产品。</w:t>
      </w:r>
      <w:r w:rsidR="006E7B5E">
        <w:rPr>
          <w:rFonts w:eastAsia="KaiTi_GB2312" w:hint="eastAsia"/>
          <w:color w:val="auto"/>
        </w:rPr>
        <w:t>具体</w:t>
      </w:r>
      <w:r w:rsidR="00EF3533" w:rsidRPr="00833B8A">
        <w:rPr>
          <w:rFonts w:eastAsia="KaiTi_GB2312" w:hint="eastAsia"/>
          <w:color w:val="auto"/>
        </w:rPr>
        <w:t>产品建议中长期关注</w:t>
      </w:r>
      <w:r w:rsidR="00300CF5" w:rsidRPr="00833B8A">
        <w:rPr>
          <w:rFonts w:eastAsia="KaiTi_GB2312" w:hint="eastAsia"/>
          <w:color w:val="auto"/>
        </w:rPr>
        <w:t>兴全绿色</w:t>
      </w:r>
      <w:r w:rsidR="00300CF5">
        <w:rPr>
          <w:rFonts w:eastAsia="KaiTi_GB2312" w:hint="eastAsia"/>
          <w:color w:val="auto"/>
        </w:rPr>
        <w:t>、海富通国策导向、</w:t>
      </w:r>
      <w:r w:rsidR="00EF3533" w:rsidRPr="00833B8A">
        <w:rPr>
          <w:rFonts w:eastAsia="KaiTi_GB2312" w:hint="eastAsia"/>
          <w:color w:val="auto"/>
        </w:rPr>
        <w:t>广发核心精选、兴全轻资产、景顺长城内需增长等</w:t>
      </w:r>
      <w:r w:rsidR="00300CF5">
        <w:rPr>
          <w:rFonts w:eastAsia="KaiTi_GB2312" w:hint="eastAsia"/>
          <w:color w:val="auto"/>
        </w:rPr>
        <w:t>基金</w:t>
      </w:r>
      <w:r w:rsidR="00EF3533" w:rsidRPr="00833B8A">
        <w:rPr>
          <w:rFonts w:eastAsia="KaiTi_GB2312" w:hint="eastAsia"/>
          <w:color w:val="auto"/>
        </w:rPr>
        <w:t>。</w:t>
      </w:r>
    </w:p>
    <w:p w:rsidR="00EF3533" w:rsidRPr="00EF3533" w:rsidRDefault="00300CF5" w:rsidP="00137B68">
      <w:pPr>
        <w:pStyle w:val="ab"/>
        <w:numPr>
          <w:ilvl w:val="4"/>
          <w:numId w:val="1"/>
        </w:numPr>
        <w:spacing w:after="163"/>
        <w:rPr>
          <w:rFonts w:eastAsia="KaiTi_GB2312" w:hint="eastAsia"/>
          <w:color w:val="auto"/>
        </w:rPr>
      </w:pPr>
      <w:r>
        <w:rPr>
          <w:rFonts w:eastAsia="KaiTi_GB2312" w:hint="eastAsia"/>
          <w:color w:val="auto"/>
        </w:rPr>
        <w:t>成长风格基金重点推荐汇添富社会责任、</w:t>
      </w:r>
      <w:r w:rsidR="00EF3533" w:rsidRPr="00EF3533">
        <w:rPr>
          <w:rFonts w:eastAsia="KaiTi_GB2312" w:hint="eastAsia"/>
          <w:color w:val="auto"/>
        </w:rPr>
        <w:t>嘉实增长</w:t>
      </w:r>
      <w:r>
        <w:rPr>
          <w:rFonts w:eastAsia="KaiTi_GB2312" w:hint="eastAsia"/>
          <w:color w:val="auto"/>
        </w:rPr>
        <w:t>，其中后者</w:t>
      </w:r>
      <w:r w:rsidR="00EF3533" w:rsidRPr="00EF3533">
        <w:rPr>
          <w:rFonts w:eastAsia="KaiTi_GB2312" w:hint="eastAsia"/>
          <w:color w:val="auto"/>
        </w:rPr>
        <w:t>在上述两类板块上进行了相对均衡的搭配。</w:t>
      </w:r>
    </w:p>
    <w:tbl>
      <w:tblPr>
        <w:tblW w:w="1077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72"/>
        <w:gridCol w:w="227"/>
        <w:gridCol w:w="5272"/>
      </w:tblGrid>
      <w:tr w:rsidR="0077008B" w:rsidRPr="00837084" w:rsidTr="002B06AE">
        <w:trPr>
          <w:cantSplit/>
          <w:trHeight w:val="368"/>
        </w:trPr>
        <w:tc>
          <w:tcPr>
            <w:tcW w:w="5272" w:type="dxa"/>
            <w:tcBorders>
              <w:top w:val="single" w:sz="6" w:space="0" w:color="FF6600"/>
              <w:bottom w:val="single" w:sz="6" w:space="0" w:color="FF6600"/>
            </w:tcBorders>
            <w:shd w:val="clear" w:color="auto" w:fill="auto"/>
            <w:vAlign w:val="center"/>
          </w:tcPr>
          <w:p w:rsidR="0077008B" w:rsidRDefault="0077008B" w:rsidP="002B06AE">
            <w:pPr>
              <w:pStyle w:val="SubTitleLargeTable"/>
              <w:pBdr>
                <w:top w:val="none" w:sz="0" w:space="0" w:color="auto"/>
              </w:pBdr>
            </w:pPr>
            <w:r w:rsidRPr="006D7395">
              <w:rPr>
                <w:rFonts w:eastAsia="KaiTi_GB2312"/>
                <w:color w:val="FF6600"/>
              </w:rPr>
              <w:lastRenderedPageBreak/>
              <w:t>图表</w:t>
            </w:r>
            <w:r>
              <w:rPr>
                <w:rFonts w:eastAsia="KaiTi_GB2312" w:hint="eastAsia"/>
                <w:color w:val="FF6600"/>
              </w:rPr>
              <w:t>5</w:t>
            </w:r>
            <w:r w:rsidRPr="006D7395">
              <w:rPr>
                <w:rFonts w:eastAsia="KaiTi_GB2312" w:hint="eastAsia"/>
                <w:color w:val="FF6600"/>
              </w:rPr>
              <w:t>：</w:t>
            </w:r>
            <w:r>
              <w:rPr>
                <w:rFonts w:eastAsia="KaiTi_GB2312" w:hint="eastAsia"/>
                <w:color w:val="FF6600"/>
              </w:rPr>
              <w:t>嘉实增长混合基金</w:t>
            </w:r>
          </w:p>
        </w:tc>
        <w:tc>
          <w:tcPr>
            <w:tcW w:w="227" w:type="dxa"/>
            <w:vAlign w:val="center"/>
          </w:tcPr>
          <w:p w:rsidR="0077008B" w:rsidRPr="00837084" w:rsidRDefault="0077008B" w:rsidP="002B06AE">
            <w:pPr>
              <w:jc w:val="center"/>
            </w:pPr>
          </w:p>
        </w:tc>
        <w:tc>
          <w:tcPr>
            <w:tcW w:w="5272" w:type="dxa"/>
            <w:tcBorders>
              <w:top w:val="single" w:sz="6" w:space="0" w:color="FF6600"/>
              <w:bottom w:val="single" w:sz="6" w:space="0" w:color="FF6600"/>
            </w:tcBorders>
            <w:shd w:val="clear" w:color="auto" w:fill="auto"/>
            <w:vAlign w:val="center"/>
          </w:tcPr>
          <w:p w:rsidR="0077008B" w:rsidRPr="00F12D44" w:rsidRDefault="0077008B" w:rsidP="002B06AE">
            <w:pPr>
              <w:pStyle w:val="SubTitleLargeTable"/>
              <w:pBdr>
                <w:top w:val="none" w:sz="0" w:space="0" w:color="auto"/>
              </w:pBdr>
            </w:pPr>
            <w:r w:rsidRPr="006D7395">
              <w:rPr>
                <w:rFonts w:eastAsia="KaiTi_GB2312"/>
                <w:color w:val="FF6600"/>
              </w:rPr>
              <w:t>图表</w:t>
            </w:r>
            <w:r>
              <w:rPr>
                <w:rFonts w:eastAsia="KaiTi_GB2312" w:hint="eastAsia"/>
                <w:color w:val="FF6600"/>
              </w:rPr>
              <w:t>6</w:t>
            </w:r>
            <w:r w:rsidRPr="006D7395">
              <w:rPr>
                <w:rFonts w:eastAsia="KaiTi_GB2312" w:hint="eastAsia"/>
                <w:color w:val="FF6600"/>
              </w:rPr>
              <w:t>：</w:t>
            </w:r>
            <w:r>
              <w:rPr>
                <w:rFonts w:eastAsia="KaiTi_GB2312" w:hint="eastAsia"/>
                <w:color w:val="FF6600"/>
              </w:rPr>
              <w:t>汇添富社会责任</w:t>
            </w:r>
            <w:r w:rsidRPr="006D7395">
              <w:rPr>
                <w:rFonts w:eastAsia="KaiTi_GB2312" w:hint="eastAsia"/>
                <w:color w:val="FF6600"/>
              </w:rPr>
              <w:t>基金</w:t>
            </w:r>
          </w:p>
        </w:tc>
      </w:tr>
      <w:tr w:rsidR="0077008B" w:rsidRPr="00837084" w:rsidTr="002B06AE">
        <w:trPr>
          <w:cantSplit/>
          <w:trHeight w:val="3016"/>
        </w:trPr>
        <w:tc>
          <w:tcPr>
            <w:tcW w:w="5272" w:type="dxa"/>
            <w:tcBorders>
              <w:top w:val="single" w:sz="6" w:space="0" w:color="FF6600"/>
              <w:bottom w:val="single" w:sz="6" w:space="0" w:color="FF6600"/>
            </w:tcBorders>
            <w:shd w:val="clear" w:color="auto" w:fill="auto"/>
            <w:vAlign w:val="center"/>
          </w:tcPr>
          <w:p w:rsidR="0077008B" w:rsidRPr="00BA48CD" w:rsidRDefault="0077008B" w:rsidP="002B06AE">
            <w:pPr>
              <w:jc w:val="center"/>
            </w:pPr>
            <w:r>
              <w:object w:dxaOrig="7515" w:dyaOrig="3360">
                <v:shape id="_x0000_i1026" type="#_x0000_t75" style="width:263.25pt;height:117.75pt" o:ole="">
                  <v:imagedata r:id="rId15" o:title=""/>
                </v:shape>
                <o:OLEObject Type="Embed" ProgID="PBrush" ShapeID="_x0000_i1026" DrawAspect="Content" ObjectID="_1447439730" r:id="rId16"/>
              </w:object>
            </w:r>
          </w:p>
        </w:tc>
        <w:tc>
          <w:tcPr>
            <w:tcW w:w="227" w:type="dxa"/>
            <w:vAlign w:val="center"/>
          </w:tcPr>
          <w:p w:rsidR="0077008B" w:rsidRPr="00837084" w:rsidRDefault="0077008B" w:rsidP="002B06AE">
            <w:pPr>
              <w:jc w:val="center"/>
            </w:pPr>
          </w:p>
        </w:tc>
        <w:tc>
          <w:tcPr>
            <w:tcW w:w="5272" w:type="dxa"/>
            <w:tcBorders>
              <w:top w:val="single" w:sz="6" w:space="0" w:color="FF6600"/>
              <w:bottom w:val="single" w:sz="6" w:space="0" w:color="FF6600"/>
            </w:tcBorders>
            <w:shd w:val="clear" w:color="auto" w:fill="auto"/>
            <w:vAlign w:val="center"/>
          </w:tcPr>
          <w:p w:rsidR="0077008B" w:rsidRPr="00F12D44" w:rsidRDefault="0077008B" w:rsidP="002B06AE">
            <w:pPr>
              <w:jc w:val="center"/>
            </w:pPr>
            <w:r>
              <w:object w:dxaOrig="7530" w:dyaOrig="3285">
                <v:shape id="_x0000_i1025" type="#_x0000_t75" style="width:263.25pt;height:114.75pt" o:ole="">
                  <v:imagedata r:id="rId17" o:title=""/>
                </v:shape>
                <o:OLEObject Type="Embed" ProgID="PBrush" ShapeID="_x0000_i1025" DrawAspect="Content" ObjectID="_1447439731" r:id="rId18"/>
              </w:object>
            </w:r>
          </w:p>
        </w:tc>
      </w:tr>
    </w:tbl>
    <w:p w:rsidR="0077008B" w:rsidRDefault="0077008B" w:rsidP="0077008B">
      <w:pPr>
        <w:pStyle w:val="FootnoteNoline"/>
        <w:ind w:left="0"/>
        <w:rPr>
          <w:rFonts w:eastAsia="KaiTi_GB2312" w:hint="eastAsia"/>
          <w:color w:val="FF6600"/>
        </w:rPr>
      </w:pPr>
      <w:r w:rsidRPr="003F6CBD">
        <w:rPr>
          <w:rFonts w:eastAsia="KaiTi_GB2312" w:hint="eastAsia"/>
          <w:color w:val="FF6600"/>
        </w:rPr>
        <w:t>来源：凯石财富工场</w:t>
      </w:r>
      <w:r w:rsidRPr="003F6CBD">
        <w:rPr>
          <w:rFonts w:eastAsia="KaiTi_GB2312" w:hint="eastAsia"/>
          <w:color w:val="FF6600"/>
        </w:rPr>
        <w:t xml:space="preserve"> wind </w:t>
      </w:r>
    </w:p>
    <w:p w:rsidR="00B10000" w:rsidRDefault="00B10000">
      <w:pPr>
        <w:widowControl/>
        <w:jc w:val="left"/>
        <w:rPr>
          <w:rFonts w:ascii="Arial" w:eastAsia="KaiTi_GB2312" w:hAnsi="Arial" w:cs="Times New Roman"/>
          <w:b/>
          <w:kern w:val="0"/>
          <w:szCs w:val="20"/>
          <w:lang w:val="en-GB"/>
        </w:rPr>
      </w:pPr>
      <w:r>
        <w:rPr>
          <w:rFonts w:ascii="Arial" w:eastAsia="KaiTi_GB2312" w:hAnsi="Arial"/>
          <w:b/>
          <w:kern w:val="0"/>
          <w:szCs w:val="20"/>
          <w:lang w:val="en-GB"/>
        </w:rPr>
        <w:br w:type="page"/>
      </w:r>
    </w:p>
    <w:p w:rsidR="00B10000" w:rsidRPr="00DE1B93" w:rsidRDefault="00B10000" w:rsidP="00B10000">
      <w:pPr>
        <w:pStyle w:val="aa"/>
        <w:spacing w:after="312"/>
        <w:rPr>
          <w:rFonts w:ascii="Arial" w:eastAsia="KaiTi_GB2312" w:hAnsi="Arial"/>
          <w:b/>
          <w:kern w:val="0"/>
          <w:sz w:val="21"/>
          <w:szCs w:val="20"/>
          <w:lang w:val="en-GB"/>
        </w:rPr>
      </w:pPr>
      <w:r w:rsidRPr="00DE1B93">
        <w:rPr>
          <w:rFonts w:ascii="Arial" w:eastAsia="KaiTi_GB2312" w:hAnsi="Arial" w:hint="eastAsia"/>
          <w:b/>
          <w:kern w:val="0"/>
          <w:sz w:val="21"/>
          <w:szCs w:val="20"/>
          <w:lang w:val="en-GB"/>
        </w:rPr>
        <w:lastRenderedPageBreak/>
        <w:t>特别声明：</w:t>
      </w:r>
    </w:p>
    <w:p w:rsidR="00B10000" w:rsidRPr="00DE1B93" w:rsidRDefault="00B10000" w:rsidP="00412A47">
      <w:pPr>
        <w:pStyle w:val="aa"/>
        <w:spacing w:beforeLines="50" w:after="312"/>
        <w:rPr>
          <w:rFonts w:ascii="Arial" w:eastAsia="KaiTi_GB2312" w:hAnsi="Arial"/>
          <w:kern w:val="0"/>
          <w:sz w:val="21"/>
          <w:szCs w:val="20"/>
          <w:lang w:val="en-GB"/>
        </w:rPr>
      </w:pPr>
      <w:r w:rsidRPr="00DE1B93">
        <w:rPr>
          <w:rFonts w:ascii="Arial" w:eastAsia="KaiTi_GB2312" w:hAnsi="Arial" w:hint="eastAsia"/>
          <w:kern w:val="0"/>
          <w:sz w:val="21"/>
          <w:szCs w:val="20"/>
          <w:lang w:val="en-GB"/>
        </w:rPr>
        <w:t>本报告中的所有内容版权均属上海凯石财富投资管理有限公司（以下简称“本公司”），未经本公司事先书面授权，不得以任何方式修改、发送或者复制本报告及其所包含的材料、内容。所有本报告中使用的商标、服务标记及标记均为本公司的商标、服务标记及标记。如欲引用或转载本文内容，务必联络本公司研究中心并获得许可，并需注明出处为上海凯石财富投资有限公司研究中心，且不得对本文进行任何有悖原意的引用和删改。</w:t>
      </w:r>
    </w:p>
    <w:p w:rsidR="00B10000" w:rsidRPr="00DE1B93" w:rsidRDefault="00B10000" w:rsidP="00412A47">
      <w:pPr>
        <w:pStyle w:val="aa"/>
        <w:spacing w:beforeLines="50" w:after="312"/>
        <w:rPr>
          <w:rFonts w:ascii="Arial" w:eastAsia="KaiTi_GB2312" w:hAnsi="Arial"/>
          <w:kern w:val="0"/>
          <w:sz w:val="21"/>
          <w:szCs w:val="20"/>
          <w:lang w:val="en-GB"/>
        </w:rPr>
      </w:pPr>
      <w:r w:rsidRPr="00DE1B93">
        <w:rPr>
          <w:rFonts w:ascii="Arial" w:eastAsia="KaiTi_GB2312" w:hAnsi="Arial" w:hint="eastAsia"/>
          <w:kern w:val="0"/>
          <w:sz w:val="21"/>
          <w:szCs w:val="20"/>
          <w:lang w:val="en-GB"/>
        </w:rPr>
        <w:t>本报告是基于已公开信息撰写，其所载资料的来源及观点的出处均被本公司认为可靠，但本公司不保证其准确性或完整性。本报告所载的资料、意见及推测反映本公司于最初发布此报告日期当日的判断，其所指的基金或者其他理财产品的价格、价值及投资收入可能会波动，在不同时期，本公司可发出与本报告所载资料、意见及推测不一致的报告。</w:t>
      </w:r>
    </w:p>
    <w:p w:rsidR="00B10000" w:rsidRPr="00DE1B93" w:rsidRDefault="00B10000" w:rsidP="00412A47">
      <w:pPr>
        <w:pStyle w:val="aa"/>
        <w:spacing w:beforeLines="50" w:after="312"/>
        <w:rPr>
          <w:rFonts w:ascii="Arial" w:eastAsia="KaiTi_GB2312" w:hAnsi="Arial"/>
          <w:kern w:val="0"/>
          <w:sz w:val="21"/>
          <w:szCs w:val="20"/>
          <w:lang w:val="en-GB"/>
        </w:rPr>
      </w:pPr>
      <w:r w:rsidRPr="00DE1B93">
        <w:rPr>
          <w:rFonts w:ascii="Arial" w:eastAsia="KaiTi_GB2312" w:hAnsi="Arial" w:hint="eastAsia"/>
          <w:kern w:val="0"/>
          <w:sz w:val="21"/>
          <w:szCs w:val="20"/>
          <w:lang w:val="en-GB"/>
        </w:rPr>
        <w:t>本报告所载的除法律或规则规定必须承担的责任外，本公司不对因使用此报告的材料而引致的损失负任何责任。本报告不构成私人咨询建议，也没有考虑到个别客户特殊的投资目标、财务状况或需要。本报告所载的资料、工具、意见及推测只提供给客户做参考之用，并未作为或被是为出售或购买其他投资标的邀请或向他人做出邀请。</w:t>
      </w:r>
    </w:p>
    <w:p w:rsidR="00B10000" w:rsidRPr="00B10000" w:rsidRDefault="00B10000">
      <w:pPr>
        <w:rPr>
          <w:lang w:val="en-GB"/>
        </w:rPr>
      </w:pPr>
    </w:p>
    <w:sectPr w:rsidR="00B10000" w:rsidRPr="00B10000" w:rsidSect="00656031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440" w:right="624" w:bottom="1440" w:left="624" w:header="850" w:footer="283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732" w:rsidRDefault="002E6732" w:rsidP="00B10000">
      <w:r>
        <w:separator/>
      </w:r>
    </w:p>
  </w:endnote>
  <w:endnote w:type="continuationSeparator" w:id="1">
    <w:p w:rsidR="002E6732" w:rsidRDefault="002E6732" w:rsidP="00B100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KaiTi_GB2312">
    <w:altName w:val="MS Gothic"/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000" w:rsidRDefault="00F829AD">
    <w:pPr>
      <w:pStyle w:val="a4"/>
      <w:jc w:val="center"/>
    </w:pPr>
    <w:r>
      <w:pict>
        <v:rect id="_x0000_i1033" style="width:571.2pt;height:2pt" o:hralign="center" o:hrstd="t" o:hrnoshade="t" o:hr="t" fillcolor="#e7a631" stroked="f"/>
      </w:pict>
    </w:r>
    <w:sdt>
      <w:sdtPr>
        <w:id w:val="31118581"/>
        <w:docPartObj>
          <w:docPartGallery w:val="Page Numbers (Bottom of Page)"/>
          <w:docPartUnique/>
        </w:docPartObj>
      </w:sdtPr>
      <w:sdtContent>
        <w:sdt>
          <w:sdtPr>
            <w:id w:val="31118580"/>
            <w:docPartObj>
              <w:docPartGallery w:val="Page Numbers (Top of Page)"/>
              <w:docPartUnique/>
            </w:docPartObj>
          </w:sdtPr>
          <w:sdtContent>
            <w:r w:rsidR="00B10000"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B10000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C531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B10000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B10000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C531A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:rsidR="00B10000" w:rsidRDefault="00B1000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18579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B10000" w:rsidRDefault="00F829AD">
            <w:pPr>
              <w:pStyle w:val="a4"/>
              <w:jc w:val="center"/>
            </w:pPr>
            <w:r>
              <w:pict>
                <v:rect id="_x0000_i1035" style="width:571.2pt;height:2pt" o:hralign="center" o:hrstd="t" o:hrnoshade="t" o:hr="t" fillcolor="#e7a631" stroked="f"/>
              </w:pict>
            </w:r>
            <w:r w:rsidR="00B10000"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B10000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C531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B10000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B10000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C531A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10000" w:rsidRDefault="00B1000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732" w:rsidRDefault="002E6732" w:rsidP="00B10000">
      <w:r>
        <w:separator/>
      </w:r>
    </w:p>
  </w:footnote>
  <w:footnote w:type="continuationSeparator" w:id="1">
    <w:p w:rsidR="002E6732" w:rsidRDefault="002E6732" w:rsidP="00B100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000" w:rsidRDefault="00F829AD" w:rsidP="00B10000">
    <w:pPr>
      <w:pStyle w:val="a3"/>
      <w:pBdr>
        <w:bottom w:val="none" w:sz="0" w:space="0" w:color="auto"/>
      </w:pBdr>
    </w:pPr>
    <w:r>
      <w:rPr>
        <w:noProof/>
      </w:rPr>
      <w:pict>
        <v:group id="_x0000_s1034" style="position:absolute;left:0;text-align:left;margin-left:5.2pt;margin-top:-32.25pt;width:531.2pt;height:37.5pt;z-index:251658240" coordorigin="728,206" coordsize="10624,750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728;top:206;width:1336;height:724;mso-width-relative:margin;mso-height-relative:margin" strokecolor="white">
            <v:textbox style="mso-next-textbox:#_x0000_s1035">
              <w:txbxContent>
                <w:p w:rsidR="00B10000" w:rsidRDefault="00F829AD" w:rsidP="00B10000">
                  <w:pPr>
                    <w:pStyle w:val="12"/>
                  </w:pPr>
                  <w:r w:rsidRPr="00F829AD"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6" type="#_x0000_t75" alt="凯石工2.jpg" style="width:45.75pt;height:32.25pt;visibility:visible">
                        <v:imagedata r:id="rId1" o:title="凯石工2"/>
                      </v:shape>
                    </w:pict>
                  </w:r>
                </w:p>
              </w:txbxContent>
            </v:textbox>
          </v:shape>
          <v:shape id="_x0000_s1036" type="#_x0000_t202" style="position:absolute;left:5999;top:542;width:5353;height:414;mso-width-relative:margin;mso-height-relative:margin" strokecolor="white">
            <v:textbox style="mso-next-textbox:#_x0000_s1036">
              <w:txbxContent>
                <w:p w:rsidR="00B10000" w:rsidRPr="006E0F3C" w:rsidRDefault="00B10000" w:rsidP="00B10000">
                  <w:pPr>
                    <w:pStyle w:val="2"/>
                  </w:pPr>
                  <w:r w:rsidRPr="006E0F3C">
                    <w:rPr>
                      <w:rFonts w:hint="eastAsia"/>
                    </w:rPr>
                    <w:t>2013年1</w:t>
                  </w:r>
                  <w:r w:rsidR="00727788">
                    <w:rPr>
                      <w:rFonts w:hint="eastAsia"/>
                    </w:rPr>
                    <w:t>2</w:t>
                  </w:r>
                  <w:r w:rsidRPr="006E0F3C">
                    <w:rPr>
                      <w:rFonts w:hint="eastAsia"/>
                    </w:rPr>
                    <w:t>月</w:t>
                  </w:r>
                  <w:r w:rsidR="007D66BF">
                    <w:rPr>
                      <w:rFonts w:hint="eastAsia"/>
                    </w:rPr>
                    <w:t>公募</w:t>
                  </w:r>
                  <w:r w:rsidRPr="006E0F3C">
                    <w:rPr>
                      <w:rFonts w:hint="eastAsia"/>
                    </w:rPr>
                    <w:t>基金投资策略</w:t>
                  </w:r>
                </w:p>
              </w:txbxContent>
            </v:textbox>
          </v:shape>
        </v:group>
      </w:pict>
    </w:r>
    <w:r>
      <w:pict>
        <v:rect id="_x0000_i1032" style="width:571.2pt;height:2pt" o:hralign="center" o:hrstd="t" o:hrnoshade="t" o:hr="t" fillcolor="#e7a631" stroked="f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000" w:rsidRDefault="00F829AD" w:rsidP="00412A47">
    <w:pPr>
      <w:pStyle w:val="a3"/>
      <w:pBdr>
        <w:bottom w:val="none" w:sz="0" w:space="0" w:color="auto"/>
      </w:pBdr>
      <w:spacing w:afterLines="100"/>
    </w:pPr>
    <w:r>
      <w:pict>
        <v:group id="_x0000_s1025" style="width:532.6pt;height:143.7pt;mso-position-horizontal-relative:char;mso-position-vertical-relative:line" coordorigin="652,331" coordsize="10652,287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652;top:331;width:3664;height:2430;mso-width-relative:margin;mso-height-relative:margin" strokecolor="white">
            <v:textbox style="mso-next-textbox:#_x0000_s1026">
              <w:txbxContent>
                <w:p w:rsidR="00B10000" w:rsidRDefault="00412A47" w:rsidP="00B10000">
                  <w:pPr>
                    <w:pStyle w:val="a6"/>
                  </w:pPr>
                  <w:r w:rsidRPr="00F829AD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图片 0" o:spid="_x0000_i1037" type="#_x0000_t75" alt="凯石工2.jpg" style="width:125.25pt;height:117.75pt;visibility:visible">
                        <v:imagedata r:id="rId1" o:title="凯石工2"/>
                      </v:shape>
                    </w:pict>
                  </w:r>
                </w:p>
              </w:txbxContent>
            </v:textbox>
          </v:shape>
          <v:shape id="_x0000_s1027" type="#_x0000_t202" style="position:absolute;left:881;top:2578;width:2325;height:390" strokecolor="white">
            <v:textbox style="mso-next-textbox:#_x0000_s1027">
              <w:txbxContent>
                <w:p w:rsidR="00B10000" w:rsidRPr="006E0F3C" w:rsidRDefault="00B10000" w:rsidP="008840A4">
                  <w:pPr>
                    <w:pStyle w:val="a5"/>
                    <w:spacing w:after="240"/>
                  </w:pPr>
                  <w:r w:rsidRPr="006E0F3C">
                    <w:rPr>
                      <w:rFonts w:hint="eastAsia"/>
                    </w:rPr>
                    <w:t>凯石工场研究报告</w:t>
                  </w:r>
                </w:p>
              </w:txbxContent>
            </v:textbox>
          </v:shape>
          <v:shape id="_x0000_s1028" type="#_x0000_t202" style="position:absolute;left:8740;top:609;width:2441;height:475;mso-height-percent:200;mso-height-percent:200;mso-width-relative:margin;mso-height-relative:margin" strokecolor="white">
            <v:textbox style="mso-next-textbox:#_x0000_s1028;mso-fit-shape-to-text:t">
              <w:txbxContent>
                <w:p w:rsidR="00B10000" w:rsidRPr="006E0F3C" w:rsidRDefault="00B10000" w:rsidP="00B10000">
                  <w:pPr>
                    <w:pStyle w:val="a7"/>
                    <w:jc w:val="right"/>
                  </w:pPr>
                  <w:r w:rsidRPr="006E0F3C">
                    <w:rPr>
                      <w:rFonts w:hint="eastAsia"/>
                    </w:rPr>
                    <w:t>2013年11</w:t>
                  </w:r>
                  <w:r w:rsidR="007D66BF">
                    <w:rPr>
                      <w:rFonts w:hint="eastAsia"/>
                    </w:rPr>
                    <w:t>月30</w:t>
                  </w:r>
                  <w:r w:rsidRPr="006E0F3C">
                    <w:rPr>
                      <w:rFonts w:hint="eastAsia"/>
                    </w:rPr>
                    <w:t>日</w:t>
                  </w:r>
                </w:p>
              </w:txbxContent>
            </v:textbox>
          </v:shape>
          <v:shape id="_x0000_s1029" type="#_x0000_t202" style="position:absolute;left:3214;top:1377;width:8090;height:1001;mso-height-percent:200;mso-height-percent:200;mso-width-relative:margin;mso-height-relative:margin" strokecolor="white">
            <v:textbox style="mso-next-textbox:#_x0000_s1029;mso-fit-shape-to-text:t">
              <w:txbxContent>
                <w:p w:rsidR="00B10000" w:rsidRDefault="00B10000" w:rsidP="00B10000">
                  <w:pPr>
                    <w:pStyle w:val="a8"/>
                    <w:jc w:val="right"/>
                  </w:pPr>
                  <w:r w:rsidRPr="006E0F3C">
                    <w:rPr>
                      <w:rFonts w:hint="eastAsia"/>
                    </w:rPr>
                    <w:t>2013年1</w:t>
                  </w:r>
                  <w:r w:rsidR="00727788">
                    <w:rPr>
                      <w:rFonts w:hint="eastAsia"/>
                    </w:rPr>
                    <w:t>2</w:t>
                  </w:r>
                  <w:r w:rsidRPr="006E0F3C">
                    <w:rPr>
                      <w:rFonts w:hint="eastAsia"/>
                    </w:rPr>
                    <w:t>月</w:t>
                  </w:r>
                  <w:r w:rsidR="007D66BF">
                    <w:rPr>
                      <w:rFonts w:hint="eastAsia"/>
                    </w:rPr>
                    <w:t>公募</w:t>
                  </w:r>
                  <w:r w:rsidRPr="006E0F3C">
                    <w:rPr>
                      <w:rFonts w:hint="eastAsia"/>
                    </w:rPr>
                    <w:t>基金投资策略</w:t>
                  </w:r>
                </w:p>
                <w:p w:rsidR="00B10000" w:rsidRPr="00624366" w:rsidRDefault="006C531A" w:rsidP="00B10000">
                  <w:pPr>
                    <w:pStyle w:val="a8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短期防范估值风险</w:t>
                  </w:r>
                  <w:r w:rsidR="003B09B0" w:rsidRPr="003B09B0">
                    <w:rPr>
                      <w:rFonts w:hint="eastAsia"/>
                      <w:sz w:val="28"/>
                      <w:szCs w:val="28"/>
                    </w:rPr>
                    <w:t>，</w:t>
                  </w:r>
                  <w:r>
                    <w:rPr>
                      <w:rFonts w:hint="eastAsia"/>
                      <w:sz w:val="28"/>
                      <w:szCs w:val="28"/>
                    </w:rPr>
                    <w:t>增配蓝筹风格产品</w:t>
                  </w:r>
                </w:p>
              </w:txbxContent>
            </v:textbox>
          </v:shape>
          <v:shape id="_x0000_s1030" type="#_x0000_t202" style="position:absolute;left:3246;top:2578;width:7993;height:627" strokecolor="white">
            <v:textbox style="mso-next-textbox:#_x0000_s1030">
              <w:txbxContent>
                <w:p w:rsidR="00B10000" w:rsidRPr="006E0F3C" w:rsidRDefault="00B10000" w:rsidP="00B10000">
                  <w:pPr>
                    <w:pStyle w:val="a9"/>
                  </w:pPr>
                  <w:r w:rsidRPr="006E0F3C">
                    <w:rPr>
                      <w:rFonts w:hint="eastAsia"/>
                    </w:rPr>
                    <w:t xml:space="preserve">张剑辉 首席分析师 </w:t>
                  </w:r>
                </w:p>
              </w:txbxContent>
            </v:textbox>
          </v:shape>
          <w10:wrap type="none"/>
          <w10:anchorlock/>
        </v:group>
      </w:pict>
    </w:r>
    <w:r>
      <w:pict>
        <v:rect id="_x0000_i1034" style="width:571.2pt;height:2pt" o:hralign="center" o:hrstd="t" o:hrnoshade="t" o:hr="t" fillcolor="#e7a631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14C42"/>
    <w:multiLevelType w:val="singleLevel"/>
    <w:tmpl w:val="B4861D4C"/>
    <w:lvl w:ilvl="0">
      <w:start w:val="1"/>
      <w:numFmt w:val="bullet"/>
      <w:pStyle w:val="Cover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color w:val="FF0000"/>
        <w:sz w:val="20"/>
        <w:szCs w:val="20"/>
      </w:rPr>
    </w:lvl>
  </w:abstractNum>
  <w:abstractNum w:abstractNumId="1">
    <w:nsid w:val="492C6DD3"/>
    <w:multiLevelType w:val="hybridMultilevel"/>
    <w:tmpl w:val="6B68E90C"/>
    <w:lvl w:ilvl="0" w:tplc="A1E68908">
      <w:start w:val="1"/>
      <w:numFmt w:val="bullet"/>
      <w:lvlText w:val=""/>
      <w:lvlJc w:val="left"/>
      <w:pPr>
        <w:tabs>
          <w:tab w:val="num" w:pos="4329"/>
        </w:tabs>
        <w:ind w:left="3969" w:firstLine="0"/>
      </w:pPr>
      <w:rPr>
        <w:rFonts w:hint="default"/>
        <w:b w:val="0"/>
        <w:i w:val="0"/>
        <w:color w:val="000565"/>
        <w:sz w:val="18"/>
      </w:rPr>
    </w:lvl>
    <w:lvl w:ilvl="1" w:tplc="04090003">
      <w:start w:val="1"/>
      <w:numFmt w:val="bullet"/>
      <w:lvlText w:val=""/>
      <w:lvlJc w:val="left"/>
      <w:pPr>
        <w:tabs>
          <w:tab w:val="num" w:pos="4242"/>
        </w:tabs>
        <w:ind w:left="4242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662"/>
        </w:tabs>
        <w:ind w:left="466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5082"/>
        </w:tabs>
        <w:ind w:left="5082" w:hanging="420"/>
      </w:pPr>
      <w:rPr>
        <w:rFonts w:ascii="Wingdings" w:hAnsi="Wingdings" w:hint="default"/>
      </w:rPr>
    </w:lvl>
    <w:lvl w:ilvl="4" w:tplc="AC7CA5DC">
      <w:start w:val="1"/>
      <w:numFmt w:val="bullet"/>
      <w:lvlText w:val=""/>
      <w:lvlJc w:val="left"/>
      <w:pPr>
        <w:tabs>
          <w:tab w:val="num" w:pos="3799"/>
        </w:tabs>
        <w:ind w:left="3799" w:hanging="369"/>
      </w:pPr>
      <w:rPr>
        <w:rFonts w:ascii="Wingdings" w:eastAsia="KaiTi_GB2312" w:hAnsi="Wingdings" w:hint="default"/>
        <w:b w:val="0"/>
        <w:i w:val="0"/>
        <w:color w:val="auto"/>
        <w:sz w:val="18"/>
      </w:rPr>
    </w:lvl>
    <w:lvl w:ilvl="5" w:tplc="04090005">
      <w:start w:val="1"/>
      <w:numFmt w:val="bullet"/>
      <w:lvlText w:val=""/>
      <w:lvlJc w:val="left"/>
      <w:pPr>
        <w:tabs>
          <w:tab w:val="num" w:pos="5922"/>
        </w:tabs>
        <w:ind w:left="5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42"/>
        </w:tabs>
        <w:ind w:left="6342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6762"/>
        </w:tabs>
        <w:ind w:left="676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7182"/>
        </w:tabs>
        <w:ind w:left="7182" w:hanging="420"/>
      </w:pPr>
      <w:rPr>
        <w:rFonts w:ascii="Wingdings" w:hAnsi="Wingdings" w:hint="default"/>
      </w:rPr>
    </w:lvl>
  </w:abstractNum>
  <w:abstractNum w:abstractNumId="2">
    <w:nsid w:val="5E8271C1"/>
    <w:multiLevelType w:val="hybridMultilevel"/>
    <w:tmpl w:val="6B68E90C"/>
    <w:lvl w:ilvl="0" w:tplc="A1E68908">
      <w:start w:val="1"/>
      <w:numFmt w:val="bullet"/>
      <w:lvlText w:val=""/>
      <w:lvlJc w:val="left"/>
      <w:pPr>
        <w:tabs>
          <w:tab w:val="num" w:pos="4329"/>
        </w:tabs>
        <w:ind w:left="3969" w:firstLine="0"/>
      </w:pPr>
      <w:rPr>
        <w:rFonts w:hint="default"/>
        <w:b w:val="0"/>
        <w:i w:val="0"/>
        <w:color w:val="000565"/>
        <w:sz w:val="18"/>
      </w:rPr>
    </w:lvl>
    <w:lvl w:ilvl="1" w:tplc="04090003">
      <w:start w:val="1"/>
      <w:numFmt w:val="bullet"/>
      <w:lvlText w:val=""/>
      <w:lvlJc w:val="left"/>
      <w:pPr>
        <w:tabs>
          <w:tab w:val="num" w:pos="4242"/>
        </w:tabs>
        <w:ind w:left="4242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662"/>
        </w:tabs>
        <w:ind w:left="466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5082"/>
        </w:tabs>
        <w:ind w:left="5082" w:hanging="420"/>
      </w:pPr>
      <w:rPr>
        <w:rFonts w:ascii="Wingdings" w:hAnsi="Wingdings" w:hint="default"/>
      </w:rPr>
    </w:lvl>
    <w:lvl w:ilvl="4" w:tplc="31DAFFE0">
      <w:start w:val="1"/>
      <w:numFmt w:val="bullet"/>
      <w:lvlText w:val=""/>
      <w:lvlJc w:val="left"/>
      <w:pPr>
        <w:tabs>
          <w:tab w:val="num" w:pos="3649"/>
        </w:tabs>
        <w:ind w:left="3289" w:firstLine="0"/>
      </w:pPr>
      <w:rPr>
        <w:rFonts w:ascii="Wingdings" w:eastAsia="宋体" w:hAnsi="Wingdings" w:hint="default"/>
        <w:b w:val="0"/>
        <w:i w:val="0"/>
        <w:color w:val="000565"/>
        <w:sz w:val="18"/>
      </w:rPr>
    </w:lvl>
    <w:lvl w:ilvl="5" w:tplc="DDC8F30C">
      <w:start w:val="1"/>
      <w:numFmt w:val="bullet"/>
      <w:lvlText w:val=""/>
      <w:lvlJc w:val="left"/>
      <w:pPr>
        <w:tabs>
          <w:tab w:val="num" w:pos="4139"/>
        </w:tabs>
        <w:ind w:left="4139" w:hanging="368"/>
      </w:pPr>
      <w:rPr>
        <w:rFonts w:ascii="Wingdings 2" w:eastAsia="KaiTi_GB2312" w:hAnsi="Wingdings 2" w:hint="default"/>
        <w:b w:val="0"/>
        <w:i w:val="0"/>
        <w:sz w:val="18"/>
      </w:rPr>
    </w:lvl>
    <w:lvl w:ilvl="6" w:tplc="04090001" w:tentative="1">
      <w:start w:val="1"/>
      <w:numFmt w:val="bullet"/>
      <w:lvlText w:val=""/>
      <w:lvlJc w:val="left"/>
      <w:pPr>
        <w:tabs>
          <w:tab w:val="num" w:pos="6342"/>
        </w:tabs>
        <w:ind w:left="634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762"/>
        </w:tabs>
        <w:ind w:left="676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7182"/>
        </w:tabs>
        <w:ind w:left="7182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0000"/>
    <w:rsid w:val="0002028D"/>
    <w:rsid w:val="00021B60"/>
    <w:rsid w:val="00023796"/>
    <w:rsid w:val="000253A1"/>
    <w:rsid w:val="00032786"/>
    <w:rsid w:val="00034C20"/>
    <w:rsid w:val="00046736"/>
    <w:rsid w:val="0004681E"/>
    <w:rsid w:val="00050901"/>
    <w:rsid w:val="0005199E"/>
    <w:rsid w:val="000523AB"/>
    <w:rsid w:val="00053D98"/>
    <w:rsid w:val="00066BBB"/>
    <w:rsid w:val="00071EEE"/>
    <w:rsid w:val="0008067A"/>
    <w:rsid w:val="000851F8"/>
    <w:rsid w:val="000874DE"/>
    <w:rsid w:val="000A0045"/>
    <w:rsid w:val="000A0200"/>
    <w:rsid w:val="000A2E30"/>
    <w:rsid w:val="000A3F69"/>
    <w:rsid w:val="000A6127"/>
    <w:rsid w:val="000A6C46"/>
    <w:rsid w:val="000A7D34"/>
    <w:rsid w:val="000C1903"/>
    <w:rsid w:val="000D120E"/>
    <w:rsid w:val="000D6608"/>
    <w:rsid w:val="000E3E62"/>
    <w:rsid w:val="000E455B"/>
    <w:rsid w:val="000E6028"/>
    <w:rsid w:val="000E63CE"/>
    <w:rsid w:val="000F1B1F"/>
    <w:rsid w:val="000F5835"/>
    <w:rsid w:val="000F61AF"/>
    <w:rsid w:val="000F6D23"/>
    <w:rsid w:val="00111800"/>
    <w:rsid w:val="001129A7"/>
    <w:rsid w:val="00116CE6"/>
    <w:rsid w:val="001375D6"/>
    <w:rsid w:val="00137B68"/>
    <w:rsid w:val="001410E9"/>
    <w:rsid w:val="00154FA6"/>
    <w:rsid w:val="001602A3"/>
    <w:rsid w:val="001615D1"/>
    <w:rsid w:val="001640A4"/>
    <w:rsid w:val="00181F34"/>
    <w:rsid w:val="0018379B"/>
    <w:rsid w:val="00185269"/>
    <w:rsid w:val="00185F9C"/>
    <w:rsid w:val="00192CE7"/>
    <w:rsid w:val="001B7CE9"/>
    <w:rsid w:val="001C1EF1"/>
    <w:rsid w:val="001C73E7"/>
    <w:rsid w:val="001D25E4"/>
    <w:rsid w:val="001D7EE7"/>
    <w:rsid w:val="001F5926"/>
    <w:rsid w:val="001F643C"/>
    <w:rsid w:val="00202C2B"/>
    <w:rsid w:val="0020734D"/>
    <w:rsid w:val="002227B7"/>
    <w:rsid w:val="00226F3A"/>
    <w:rsid w:val="00231F40"/>
    <w:rsid w:val="0023421B"/>
    <w:rsid w:val="00235011"/>
    <w:rsid w:val="00237BD5"/>
    <w:rsid w:val="00245441"/>
    <w:rsid w:val="0025077E"/>
    <w:rsid w:val="00256A3A"/>
    <w:rsid w:val="00256FBC"/>
    <w:rsid w:val="002630FB"/>
    <w:rsid w:val="00267F8F"/>
    <w:rsid w:val="00270827"/>
    <w:rsid w:val="002753B7"/>
    <w:rsid w:val="00276646"/>
    <w:rsid w:val="00281FBC"/>
    <w:rsid w:val="002845EC"/>
    <w:rsid w:val="0028468E"/>
    <w:rsid w:val="00294162"/>
    <w:rsid w:val="00294B8F"/>
    <w:rsid w:val="0029687F"/>
    <w:rsid w:val="00297477"/>
    <w:rsid w:val="002D7992"/>
    <w:rsid w:val="002E34C7"/>
    <w:rsid w:val="002E6732"/>
    <w:rsid w:val="002E794A"/>
    <w:rsid w:val="00300CF5"/>
    <w:rsid w:val="003056A1"/>
    <w:rsid w:val="00305C2C"/>
    <w:rsid w:val="00310654"/>
    <w:rsid w:val="00313D2F"/>
    <w:rsid w:val="00317EA3"/>
    <w:rsid w:val="00330B3A"/>
    <w:rsid w:val="00333E93"/>
    <w:rsid w:val="00333EF1"/>
    <w:rsid w:val="003369C2"/>
    <w:rsid w:val="00337589"/>
    <w:rsid w:val="00343F99"/>
    <w:rsid w:val="003629A1"/>
    <w:rsid w:val="0037074A"/>
    <w:rsid w:val="003729AE"/>
    <w:rsid w:val="00375179"/>
    <w:rsid w:val="00381992"/>
    <w:rsid w:val="0038238B"/>
    <w:rsid w:val="00391A99"/>
    <w:rsid w:val="00391FD6"/>
    <w:rsid w:val="003951B9"/>
    <w:rsid w:val="00396C9C"/>
    <w:rsid w:val="00397BDC"/>
    <w:rsid w:val="003A481F"/>
    <w:rsid w:val="003A5DC1"/>
    <w:rsid w:val="003A6147"/>
    <w:rsid w:val="003B09B0"/>
    <w:rsid w:val="003B587D"/>
    <w:rsid w:val="003B7474"/>
    <w:rsid w:val="003D5F17"/>
    <w:rsid w:val="003D7F3E"/>
    <w:rsid w:val="003E48A5"/>
    <w:rsid w:val="003E595A"/>
    <w:rsid w:val="003F2C9A"/>
    <w:rsid w:val="003F6CBD"/>
    <w:rsid w:val="003F7539"/>
    <w:rsid w:val="004014F0"/>
    <w:rsid w:val="00402AD8"/>
    <w:rsid w:val="00407EBC"/>
    <w:rsid w:val="004125AE"/>
    <w:rsid w:val="00412A47"/>
    <w:rsid w:val="00424971"/>
    <w:rsid w:val="00431666"/>
    <w:rsid w:val="00431689"/>
    <w:rsid w:val="00432EE0"/>
    <w:rsid w:val="004332FB"/>
    <w:rsid w:val="0043361C"/>
    <w:rsid w:val="00434A50"/>
    <w:rsid w:val="0044427B"/>
    <w:rsid w:val="0044537B"/>
    <w:rsid w:val="00451119"/>
    <w:rsid w:val="00457391"/>
    <w:rsid w:val="004631F4"/>
    <w:rsid w:val="00466158"/>
    <w:rsid w:val="00471193"/>
    <w:rsid w:val="004766E1"/>
    <w:rsid w:val="00484937"/>
    <w:rsid w:val="00486443"/>
    <w:rsid w:val="00494F21"/>
    <w:rsid w:val="004A2ACB"/>
    <w:rsid w:val="004A61EA"/>
    <w:rsid w:val="004B2BBA"/>
    <w:rsid w:val="004C2631"/>
    <w:rsid w:val="004D31F9"/>
    <w:rsid w:val="004D5065"/>
    <w:rsid w:val="004E1BA0"/>
    <w:rsid w:val="004E1FD0"/>
    <w:rsid w:val="004E65EE"/>
    <w:rsid w:val="004E7A1E"/>
    <w:rsid w:val="004F5DA2"/>
    <w:rsid w:val="00507DE8"/>
    <w:rsid w:val="005115E1"/>
    <w:rsid w:val="00511FB9"/>
    <w:rsid w:val="00512A9E"/>
    <w:rsid w:val="00514D5D"/>
    <w:rsid w:val="00525FCF"/>
    <w:rsid w:val="0053086C"/>
    <w:rsid w:val="005332CB"/>
    <w:rsid w:val="005369F2"/>
    <w:rsid w:val="00540BEF"/>
    <w:rsid w:val="00540ECB"/>
    <w:rsid w:val="00541D5F"/>
    <w:rsid w:val="005441FC"/>
    <w:rsid w:val="00553335"/>
    <w:rsid w:val="00561462"/>
    <w:rsid w:val="0056299F"/>
    <w:rsid w:val="00562AA0"/>
    <w:rsid w:val="00572623"/>
    <w:rsid w:val="005775C2"/>
    <w:rsid w:val="00577F2A"/>
    <w:rsid w:val="005846FF"/>
    <w:rsid w:val="0058496F"/>
    <w:rsid w:val="00586ECA"/>
    <w:rsid w:val="00590EA5"/>
    <w:rsid w:val="005915EE"/>
    <w:rsid w:val="005931A6"/>
    <w:rsid w:val="005A516C"/>
    <w:rsid w:val="005C1C72"/>
    <w:rsid w:val="005C4668"/>
    <w:rsid w:val="005C4FC7"/>
    <w:rsid w:val="005D2044"/>
    <w:rsid w:val="005E1EEB"/>
    <w:rsid w:val="005E4D6F"/>
    <w:rsid w:val="005F0668"/>
    <w:rsid w:val="005F0A57"/>
    <w:rsid w:val="005F237F"/>
    <w:rsid w:val="005F5E5D"/>
    <w:rsid w:val="0060046D"/>
    <w:rsid w:val="0060162B"/>
    <w:rsid w:val="00607330"/>
    <w:rsid w:val="006109DD"/>
    <w:rsid w:val="00612B2B"/>
    <w:rsid w:val="00613C2E"/>
    <w:rsid w:val="00615A49"/>
    <w:rsid w:val="00616699"/>
    <w:rsid w:val="00623C62"/>
    <w:rsid w:val="00624902"/>
    <w:rsid w:val="006312B0"/>
    <w:rsid w:val="00635E4C"/>
    <w:rsid w:val="00641A96"/>
    <w:rsid w:val="00643301"/>
    <w:rsid w:val="006459A3"/>
    <w:rsid w:val="006512DE"/>
    <w:rsid w:val="00656031"/>
    <w:rsid w:val="0066393D"/>
    <w:rsid w:val="00673A5E"/>
    <w:rsid w:val="006826D5"/>
    <w:rsid w:val="0068330F"/>
    <w:rsid w:val="00683C61"/>
    <w:rsid w:val="006845E1"/>
    <w:rsid w:val="00684953"/>
    <w:rsid w:val="0068772B"/>
    <w:rsid w:val="00690887"/>
    <w:rsid w:val="00690FF7"/>
    <w:rsid w:val="006927C1"/>
    <w:rsid w:val="00695146"/>
    <w:rsid w:val="00695441"/>
    <w:rsid w:val="00697A97"/>
    <w:rsid w:val="006A069E"/>
    <w:rsid w:val="006A79C1"/>
    <w:rsid w:val="006C531A"/>
    <w:rsid w:val="006C619C"/>
    <w:rsid w:val="006D1867"/>
    <w:rsid w:val="006D70EA"/>
    <w:rsid w:val="006D7395"/>
    <w:rsid w:val="006E18E9"/>
    <w:rsid w:val="006E5BF7"/>
    <w:rsid w:val="006E7B5E"/>
    <w:rsid w:val="006F331C"/>
    <w:rsid w:val="006F6811"/>
    <w:rsid w:val="00700013"/>
    <w:rsid w:val="00702322"/>
    <w:rsid w:val="00706E03"/>
    <w:rsid w:val="00711851"/>
    <w:rsid w:val="00711A60"/>
    <w:rsid w:val="00712570"/>
    <w:rsid w:val="00714187"/>
    <w:rsid w:val="0072608C"/>
    <w:rsid w:val="00726CC9"/>
    <w:rsid w:val="00727661"/>
    <w:rsid w:val="00727788"/>
    <w:rsid w:val="00735235"/>
    <w:rsid w:val="00736E5E"/>
    <w:rsid w:val="00744977"/>
    <w:rsid w:val="00746994"/>
    <w:rsid w:val="00746D3D"/>
    <w:rsid w:val="00752A4A"/>
    <w:rsid w:val="00752BF9"/>
    <w:rsid w:val="00755451"/>
    <w:rsid w:val="007560E1"/>
    <w:rsid w:val="0077008B"/>
    <w:rsid w:val="007721A6"/>
    <w:rsid w:val="00793DA2"/>
    <w:rsid w:val="00794A5B"/>
    <w:rsid w:val="007A1DE0"/>
    <w:rsid w:val="007A3D70"/>
    <w:rsid w:val="007A4528"/>
    <w:rsid w:val="007B3754"/>
    <w:rsid w:val="007C2AA0"/>
    <w:rsid w:val="007D03A4"/>
    <w:rsid w:val="007D66BF"/>
    <w:rsid w:val="007E2ACD"/>
    <w:rsid w:val="007E5E08"/>
    <w:rsid w:val="007F5299"/>
    <w:rsid w:val="007F585F"/>
    <w:rsid w:val="007F594C"/>
    <w:rsid w:val="00800D85"/>
    <w:rsid w:val="008073CA"/>
    <w:rsid w:val="0081385D"/>
    <w:rsid w:val="008332DF"/>
    <w:rsid w:val="008337AE"/>
    <w:rsid w:val="00833B8A"/>
    <w:rsid w:val="00833D09"/>
    <w:rsid w:val="00837286"/>
    <w:rsid w:val="00840DBB"/>
    <w:rsid w:val="00850F7D"/>
    <w:rsid w:val="00854662"/>
    <w:rsid w:val="008548EB"/>
    <w:rsid w:val="00855039"/>
    <w:rsid w:val="00855BFA"/>
    <w:rsid w:val="00865389"/>
    <w:rsid w:val="00865439"/>
    <w:rsid w:val="00865E63"/>
    <w:rsid w:val="008718E9"/>
    <w:rsid w:val="00884076"/>
    <w:rsid w:val="008840A4"/>
    <w:rsid w:val="00884F6F"/>
    <w:rsid w:val="00887026"/>
    <w:rsid w:val="008903BA"/>
    <w:rsid w:val="00891377"/>
    <w:rsid w:val="00891D0B"/>
    <w:rsid w:val="00891E24"/>
    <w:rsid w:val="008B39DB"/>
    <w:rsid w:val="008B7935"/>
    <w:rsid w:val="008C38DE"/>
    <w:rsid w:val="008C7178"/>
    <w:rsid w:val="008D337E"/>
    <w:rsid w:val="008E2240"/>
    <w:rsid w:val="008E2ED3"/>
    <w:rsid w:val="008E3E89"/>
    <w:rsid w:val="008E4EA9"/>
    <w:rsid w:val="008E7BD6"/>
    <w:rsid w:val="008F0A1D"/>
    <w:rsid w:val="008F2245"/>
    <w:rsid w:val="008F2278"/>
    <w:rsid w:val="008F6FDF"/>
    <w:rsid w:val="00901AE0"/>
    <w:rsid w:val="0091102E"/>
    <w:rsid w:val="009110CF"/>
    <w:rsid w:val="00916D40"/>
    <w:rsid w:val="00921414"/>
    <w:rsid w:val="00934164"/>
    <w:rsid w:val="009528F8"/>
    <w:rsid w:val="00955287"/>
    <w:rsid w:val="00955ED0"/>
    <w:rsid w:val="009655B1"/>
    <w:rsid w:val="009670D1"/>
    <w:rsid w:val="00973316"/>
    <w:rsid w:val="0097377A"/>
    <w:rsid w:val="00975EF3"/>
    <w:rsid w:val="00977B3A"/>
    <w:rsid w:val="00984471"/>
    <w:rsid w:val="009916B0"/>
    <w:rsid w:val="00995D4D"/>
    <w:rsid w:val="009A51AC"/>
    <w:rsid w:val="009B426A"/>
    <w:rsid w:val="009B7A47"/>
    <w:rsid w:val="009D169B"/>
    <w:rsid w:val="009D43D0"/>
    <w:rsid w:val="009E21AB"/>
    <w:rsid w:val="009E2581"/>
    <w:rsid w:val="009E66D5"/>
    <w:rsid w:val="009E6FA3"/>
    <w:rsid w:val="009F10A3"/>
    <w:rsid w:val="009F34EC"/>
    <w:rsid w:val="009F5F93"/>
    <w:rsid w:val="00A03EB6"/>
    <w:rsid w:val="00A06A81"/>
    <w:rsid w:val="00A1182D"/>
    <w:rsid w:val="00A27BC6"/>
    <w:rsid w:val="00A36EE5"/>
    <w:rsid w:val="00A40040"/>
    <w:rsid w:val="00A41BC0"/>
    <w:rsid w:val="00A44E19"/>
    <w:rsid w:val="00A50422"/>
    <w:rsid w:val="00A54EAC"/>
    <w:rsid w:val="00A57777"/>
    <w:rsid w:val="00A70401"/>
    <w:rsid w:val="00A71F90"/>
    <w:rsid w:val="00A75EA0"/>
    <w:rsid w:val="00A85E72"/>
    <w:rsid w:val="00A91CB8"/>
    <w:rsid w:val="00A96018"/>
    <w:rsid w:val="00A96ED1"/>
    <w:rsid w:val="00AA1376"/>
    <w:rsid w:val="00AA5B9A"/>
    <w:rsid w:val="00AD3C64"/>
    <w:rsid w:val="00AD6F54"/>
    <w:rsid w:val="00AE4171"/>
    <w:rsid w:val="00AF1122"/>
    <w:rsid w:val="00AF6699"/>
    <w:rsid w:val="00B002DE"/>
    <w:rsid w:val="00B008C3"/>
    <w:rsid w:val="00B10000"/>
    <w:rsid w:val="00B222C6"/>
    <w:rsid w:val="00B25A12"/>
    <w:rsid w:val="00B340D8"/>
    <w:rsid w:val="00B40F4C"/>
    <w:rsid w:val="00B43D7E"/>
    <w:rsid w:val="00B53EC5"/>
    <w:rsid w:val="00B55E8D"/>
    <w:rsid w:val="00B5634D"/>
    <w:rsid w:val="00B610A4"/>
    <w:rsid w:val="00B72C79"/>
    <w:rsid w:val="00B75AA1"/>
    <w:rsid w:val="00B815CC"/>
    <w:rsid w:val="00B9628C"/>
    <w:rsid w:val="00BA2D09"/>
    <w:rsid w:val="00BA48CD"/>
    <w:rsid w:val="00BA652E"/>
    <w:rsid w:val="00BA6F35"/>
    <w:rsid w:val="00BA7445"/>
    <w:rsid w:val="00BB0A06"/>
    <w:rsid w:val="00BB12F9"/>
    <w:rsid w:val="00BB1AA8"/>
    <w:rsid w:val="00BC5F51"/>
    <w:rsid w:val="00BD7CEA"/>
    <w:rsid w:val="00BE6163"/>
    <w:rsid w:val="00BE7059"/>
    <w:rsid w:val="00BF0607"/>
    <w:rsid w:val="00BF1D1B"/>
    <w:rsid w:val="00C03B79"/>
    <w:rsid w:val="00C06379"/>
    <w:rsid w:val="00C120F7"/>
    <w:rsid w:val="00C12517"/>
    <w:rsid w:val="00C151C5"/>
    <w:rsid w:val="00C16315"/>
    <w:rsid w:val="00C170FE"/>
    <w:rsid w:val="00C20DB8"/>
    <w:rsid w:val="00C266C4"/>
    <w:rsid w:val="00C35B68"/>
    <w:rsid w:val="00C36B34"/>
    <w:rsid w:val="00C45960"/>
    <w:rsid w:val="00C46B96"/>
    <w:rsid w:val="00C538B2"/>
    <w:rsid w:val="00C60B0D"/>
    <w:rsid w:val="00C6448F"/>
    <w:rsid w:val="00C712CF"/>
    <w:rsid w:val="00C71665"/>
    <w:rsid w:val="00C724DD"/>
    <w:rsid w:val="00C75DE3"/>
    <w:rsid w:val="00C770FC"/>
    <w:rsid w:val="00C806CE"/>
    <w:rsid w:val="00C871C5"/>
    <w:rsid w:val="00C908C8"/>
    <w:rsid w:val="00C96AF7"/>
    <w:rsid w:val="00CA2DBF"/>
    <w:rsid w:val="00CA630D"/>
    <w:rsid w:val="00CD2F8C"/>
    <w:rsid w:val="00CD4977"/>
    <w:rsid w:val="00CE65F5"/>
    <w:rsid w:val="00CF0B9B"/>
    <w:rsid w:val="00CF29CB"/>
    <w:rsid w:val="00CF7AC0"/>
    <w:rsid w:val="00D019E8"/>
    <w:rsid w:val="00D11580"/>
    <w:rsid w:val="00D157AF"/>
    <w:rsid w:val="00D15803"/>
    <w:rsid w:val="00D314A7"/>
    <w:rsid w:val="00D40869"/>
    <w:rsid w:val="00D41337"/>
    <w:rsid w:val="00D44A82"/>
    <w:rsid w:val="00D47E17"/>
    <w:rsid w:val="00D52696"/>
    <w:rsid w:val="00D6250A"/>
    <w:rsid w:val="00D63237"/>
    <w:rsid w:val="00D63D2F"/>
    <w:rsid w:val="00D739F0"/>
    <w:rsid w:val="00D82D2F"/>
    <w:rsid w:val="00D97DF6"/>
    <w:rsid w:val="00DA12D2"/>
    <w:rsid w:val="00DA4FB1"/>
    <w:rsid w:val="00DA5D60"/>
    <w:rsid w:val="00DB5A08"/>
    <w:rsid w:val="00DB6183"/>
    <w:rsid w:val="00DC2331"/>
    <w:rsid w:val="00DC5091"/>
    <w:rsid w:val="00DD08B4"/>
    <w:rsid w:val="00DD65E5"/>
    <w:rsid w:val="00DD7B3A"/>
    <w:rsid w:val="00DE1B93"/>
    <w:rsid w:val="00DE45FA"/>
    <w:rsid w:val="00DF65D1"/>
    <w:rsid w:val="00E03390"/>
    <w:rsid w:val="00E111AA"/>
    <w:rsid w:val="00E12F97"/>
    <w:rsid w:val="00E16BE9"/>
    <w:rsid w:val="00E177FC"/>
    <w:rsid w:val="00E227B5"/>
    <w:rsid w:val="00E22A18"/>
    <w:rsid w:val="00E35BB7"/>
    <w:rsid w:val="00E4735B"/>
    <w:rsid w:val="00E50F2C"/>
    <w:rsid w:val="00E57270"/>
    <w:rsid w:val="00E67CD0"/>
    <w:rsid w:val="00E73A63"/>
    <w:rsid w:val="00E8084C"/>
    <w:rsid w:val="00E82185"/>
    <w:rsid w:val="00E84E3B"/>
    <w:rsid w:val="00E9265E"/>
    <w:rsid w:val="00EC391E"/>
    <w:rsid w:val="00EC39D8"/>
    <w:rsid w:val="00ED348B"/>
    <w:rsid w:val="00EE1879"/>
    <w:rsid w:val="00EE42C0"/>
    <w:rsid w:val="00EF3533"/>
    <w:rsid w:val="00EF41D0"/>
    <w:rsid w:val="00F10C34"/>
    <w:rsid w:val="00F13965"/>
    <w:rsid w:val="00F174A1"/>
    <w:rsid w:val="00F17B15"/>
    <w:rsid w:val="00F20597"/>
    <w:rsid w:val="00F21566"/>
    <w:rsid w:val="00F24C0D"/>
    <w:rsid w:val="00F25274"/>
    <w:rsid w:val="00F43105"/>
    <w:rsid w:val="00F47D01"/>
    <w:rsid w:val="00F65C0B"/>
    <w:rsid w:val="00F668F9"/>
    <w:rsid w:val="00F70F53"/>
    <w:rsid w:val="00F829AD"/>
    <w:rsid w:val="00FA0C1D"/>
    <w:rsid w:val="00FA1454"/>
    <w:rsid w:val="00FA3C1C"/>
    <w:rsid w:val="00FB50F4"/>
    <w:rsid w:val="00FB544C"/>
    <w:rsid w:val="00FB6CE3"/>
    <w:rsid w:val="00FC00DC"/>
    <w:rsid w:val="00FD1230"/>
    <w:rsid w:val="00FD2A05"/>
    <w:rsid w:val="00FD7EC8"/>
    <w:rsid w:val="00FF08F2"/>
    <w:rsid w:val="00FF2F3E"/>
    <w:rsid w:val="00FF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1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00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00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00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0000"/>
    <w:rPr>
      <w:sz w:val="18"/>
      <w:szCs w:val="18"/>
    </w:rPr>
  </w:style>
  <w:style w:type="paragraph" w:customStyle="1" w:styleId="a5">
    <w:name w:val="页眉报告名称"/>
    <w:link w:val="Char1"/>
    <w:autoRedefine/>
    <w:qFormat/>
    <w:rsid w:val="00B10000"/>
    <w:pPr>
      <w:spacing w:afterLines="100" w:line="240" w:lineRule="exact"/>
      <w:jc w:val="both"/>
    </w:pPr>
    <w:rPr>
      <w:rFonts w:ascii="Calibri" w:eastAsia="华文新魏" w:hAnsi="Calibri" w:cs="Times New Roman"/>
      <w:sz w:val="24"/>
    </w:rPr>
  </w:style>
  <w:style w:type="character" w:customStyle="1" w:styleId="Char1">
    <w:name w:val="页眉报告名称 Char"/>
    <w:basedOn w:val="a0"/>
    <w:link w:val="a5"/>
    <w:rsid w:val="00B10000"/>
    <w:rPr>
      <w:rFonts w:ascii="Calibri" w:eastAsia="华文新魏" w:hAnsi="Calibri" w:cs="Times New Roman"/>
      <w:sz w:val="24"/>
    </w:rPr>
  </w:style>
  <w:style w:type="paragraph" w:customStyle="1" w:styleId="a6">
    <w:name w:val="页眉图片"/>
    <w:basedOn w:val="a3"/>
    <w:link w:val="Char2"/>
    <w:qFormat/>
    <w:rsid w:val="00B10000"/>
    <w:pPr>
      <w:pBdr>
        <w:bottom w:val="none" w:sz="0" w:space="0" w:color="auto"/>
      </w:pBdr>
      <w:tabs>
        <w:tab w:val="clear" w:pos="4153"/>
        <w:tab w:val="clear" w:pos="8306"/>
        <w:tab w:val="right" w:pos="11424"/>
      </w:tabs>
      <w:jc w:val="left"/>
    </w:pPr>
    <w:rPr>
      <w:rFonts w:ascii="Calibri" w:eastAsia="宋体" w:hAnsi="Calibri" w:cs="Times New Roman"/>
      <w:noProof/>
    </w:rPr>
  </w:style>
  <w:style w:type="character" w:customStyle="1" w:styleId="Char2">
    <w:name w:val="页眉图片 Char"/>
    <w:basedOn w:val="Char"/>
    <w:link w:val="a6"/>
    <w:rsid w:val="00B10000"/>
    <w:rPr>
      <w:rFonts w:ascii="Calibri" w:eastAsia="宋体" w:hAnsi="Calibri" w:cs="Times New Roman"/>
      <w:noProof/>
    </w:rPr>
  </w:style>
  <w:style w:type="paragraph" w:customStyle="1" w:styleId="a7">
    <w:name w:val="页眉处日期"/>
    <w:basedOn w:val="a"/>
    <w:link w:val="Char3"/>
    <w:qFormat/>
    <w:rsid w:val="00B10000"/>
    <w:pPr>
      <w:tabs>
        <w:tab w:val="right" w:pos="11424"/>
      </w:tabs>
      <w:snapToGrid w:val="0"/>
      <w:jc w:val="left"/>
    </w:pPr>
    <w:rPr>
      <w:rFonts w:ascii="华文隶书" w:eastAsia="华文隶书" w:hAnsi="Calibri" w:cs="Times New Roman"/>
      <w:b/>
      <w:sz w:val="24"/>
      <w:szCs w:val="24"/>
    </w:rPr>
  </w:style>
  <w:style w:type="paragraph" w:customStyle="1" w:styleId="a8">
    <w:name w:val="页眉副标题"/>
    <w:basedOn w:val="a"/>
    <w:link w:val="Char4"/>
    <w:qFormat/>
    <w:rsid w:val="00B10000"/>
    <w:pPr>
      <w:tabs>
        <w:tab w:val="right" w:pos="11424"/>
      </w:tabs>
      <w:snapToGrid w:val="0"/>
      <w:jc w:val="left"/>
    </w:pPr>
    <w:rPr>
      <w:rFonts w:ascii="华文隶书" w:eastAsia="华文隶书" w:hAnsi="Calibri" w:cs="Times New Roman"/>
      <w:sz w:val="36"/>
      <w:szCs w:val="36"/>
    </w:rPr>
  </w:style>
  <w:style w:type="character" w:customStyle="1" w:styleId="Char3">
    <w:name w:val="页眉处日期 Char"/>
    <w:basedOn w:val="a0"/>
    <w:link w:val="a7"/>
    <w:rsid w:val="00B10000"/>
    <w:rPr>
      <w:rFonts w:ascii="华文隶书" w:eastAsia="华文隶书" w:hAnsi="Calibri" w:cs="Times New Roman"/>
      <w:b/>
      <w:sz w:val="24"/>
      <w:szCs w:val="24"/>
    </w:rPr>
  </w:style>
  <w:style w:type="character" w:customStyle="1" w:styleId="Char4">
    <w:name w:val="页眉副标题 Char"/>
    <w:basedOn w:val="a0"/>
    <w:link w:val="a8"/>
    <w:rsid w:val="00B10000"/>
    <w:rPr>
      <w:rFonts w:ascii="华文隶书" w:eastAsia="华文隶书" w:hAnsi="Calibri" w:cs="Times New Roman"/>
      <w:sz w:val="36"/>
      <w:szCs w:val="36"/>
    </w:rPr>
  </w:style>
  <w:style w:type="paragraph" w:customStyle="1" w:styleId="a9">
    <w:name w:val="页眉的分析师"/>
    <w:basedOn w:val="a"/>
    <w:link w:val="Char5"/>
    <w:qFormat/>
    <w:rsid w:val="00B10000"/>
    <w:pPr>
      <w:tabs>
        <w:tab w:val="right" w:pos="11424"/>
      </w:tabs>
      <w:snapToGrid w:val="0"/>
      <w:spacing w:line="240" w:lineRule="exact"/>
      <w:jc w:val="right"/>
    </w:pPr>
    <w:rPr>
      <w:rFonts w:ascii="华文新魏" w:eastAsia="华文新魏" w:hAnsi="Calibri" w:cs="Times New Roman"/>
      <w:szCs w:val="21"/>
    </w:rPr>
  </w:style>
  <w:style w:type="character" w:customStyle="1" w:styleId="Char5">
    <w:name w:val="页眉的分析师 Char"/>
    <w:basedOn w:val="a0"/>
    <w:link w:val="a9"/>
    <w:rsid w:val="00B10000"/>
    <w:rPr>
      <w:rFonts w:ascii="华文新魏" w:eastAsia="华文新魏" w:hAnsi="Calibri" w:cs="Times New Roman"/>
      <w:szCs w:val="21"/>
    </w:rPr>
  </w:style>
  <w:style w:type="paragraph" w:customStyle="1" w:styleId="12">
    <w:name w:val="页眉12"/>
    <w:basedOn w:val="a3"/>
    <w:link w:val="12Char"/>
    <w:qFormat/>
    <w:rsid w:val="00B10000"/>
    <w:pPr>
      <w:pBdr>
        <w:bottom w:val="none" w:sz="0" w:space="0" w:color="auto"/>
      </w:pBdr>
      <w:tabs>
        <w:tab w:val="clear" w:pos="4153"/>
        <w:tab w:val="clear" w:pos="8306"/>
        <w:tab w:val="right" w:pos="11424"/>
      </w:tabs>
      <w:jc w:val="left"/>
    </w:pPr>
    <w:rPr>
      <w:rFonts w:ascii="Calibri" w:eastAsia="宋体" w:hAnsi="Calibri" w:cs="Times New Roman"/>
    </w:rPr>
  </w:style>
  <w:style w:type="character" w:customStyle="1" w:styleId="12Char">
    <w:name w:val="页眉12 Char"/>
    <w:basedOn w:val="Char"/>
    <w:link w:val="12"/>
    <w:rsid w:val="00B10000"/>
    <w:rPr>
      <w:rFonts w:ascii="Calibri" w:eastAsia="宋体" w:hAnsi="Calibri" w:cs="Times New Roman"/>
    </w:rPr>
  </w:style>
  <w:style w:type="paragraph" w:customStyle="1" w:styleId="2">
    <w:name w:val="页眉副标题2"/>
    <w:basedOn w:val="12"/>
    <w:link w:val="2Char"/>
    <w:qFormat/>
    <w:rsid w:val="00B10000"/>
    <w:pPr>
      <w:jc w:val="right"/>
    </w:pPr>
    <w:rPr>
      <w:rFonts w:ascii="华文隶书" w:eastAsia="华文隶书"/>
      <w:sz w:val="21"/>
      <w:szCs w:val="21"/>
    </w:rPr>
  </w:style>
  <w:style w:type="character" w:customStyle="1" w:styleId="2Char">
    <w:name w:val="页眉副标题2 Char"/>
    <w:basedOn w:val="12Char"/>
    <w:link w:val="2"/>
    <w:rsid w:val="00B10000"/>
    <w:rPr>
      <w:rFonts w:ascii="华文隶书" w:eastAsia="华文隶书"/>
      <w:szCs w:val="21"/>
    </w:rPr>
  </w:style>
  <w:style w:type="paragraph" w:customStyle="1" w:styleId="aa">
    <w:name w:val="特别声明格式"/>
    <w:basedOn w:val="a"/>
    <w:link w:val="Char6"/>
    <w:qFormat/>
    <w:rsid w:val="00B10000"/>
    <w:pPr>
      <w:spacing w:afterLines="100" w:line="240" w:lineRule="exact"/>
    </w:pPr>
    <w:rPr>
      <w:rFonts w:ascii="华文隶书" w:eastAsia="华文隶书" w:hAnsi="Calibri" w:cs="Times New Roman"/>
      <w:sz w:val="28"/>
    </w:rPr>
  </w:style>
  <w:style w:type="character" w:customStyle="1" w:styleId="Char6">
    <w:name w:val="特别声明格式 Char"/>
    <w:basedOn w:val="a0"/>
    <w:link w:val="aa"/>
    <w:rsid w:val="00B10000"/>
    <w:rPr>
      <w:rFonts w:ascii="华文隶书" w:eastAsia="华文隶书" w:hAnsi="Calibri" w:cs="Times New Roman"/>
      <w:sz w:val="28"/>
    </w:rPr>
  </w:style>
  <w:style w:type="paragraph" w:styleId="ab">
    <w:name w:val="Body Text"/>
    <w:basedOn w:val="a"/>
    <w:link w:val="Char7"/>
    <w:rsid w:val="00B10000"/>
    <w:pPr>
      <w:widowControl/>
      <w:spacing w:after="120" w:line="240" w:lineRule="exact"/>
      <w:ind w:left="3402"/>
    </w:pPr>
    <w:rPr>
      <w:rFonts w:ascii="Arial" w:eastAsia="KaiTi_GB2312" w:hAnsi="Arial" w:cs="Times New Roman"/>
      <w:color w:val="000000"/>
      <w:kern w:val="0"/>
      <w:szCs w:val="20"/>
      <w:lang w:val="en-GB"/>
    </w:rPr>
  </w:style>
  <w:style w:type="character" w:customStyle="1" w:styleId="Char7">
    <w:name w:val="正文文本 Char"/>
    <w:basedOn w:val="a0"/>
    <w:link w:val="ab"/>
    <w:rsid w:val="00B10000"/>
    <w:rPr>
      <w:rFonts w:ascii="Arial" w:eastAsia="KaiTi_GB2312" w:hAnsi="Arial" w:cs="Times New Roman"/>
      <w:color w:val="000000"/>
      <w:kern w:val="0"/>
      <w:szCs w:val="20"/>
      <w:lang w:val="en-GB"/>
    </w:rPr>
  </w:style>
  <w:style w:type="paragraph" w:customStyle="1" w:styleId="FootnoteNoline">
    <w:name w:val="FootnoteNoline"/>
    <w:basedOn w:val="a"/>
    <w:next w:val="ab"/>
    <w:rsid w:val="008840A4"/>
    <w:pPr>
      <w:widowControl/>
      <w:tabs>
        <w:tab w:val="right" w:pos="10065"/>
      </w:tabs>
      <w:spacing w:before="40" w:after="160"/>
      <w:ind w:left="3402"/>
    </w:pPr>
    <w:rPr>
      <w:rFonts w:ascii="Arial" w:eastAsia="KaiTi_GB2312" w:hAnsi="Arial" w:cs="Arial"/>
      <w:color w:val="003765"/>
      <w:kern w:val="0"/>
      <w:sz w:val="15"/>
      <w:szCs w:val="14"/>
      <w:lang w:val="en-GB"/>
    </w:rPr>
  </w:style>
  <w:style w:type="paragraph" w:customStyle="1" w:styleId="SubTitleLargeTable">
    <w:name w:val="SubTitleLargeTable"/>
    <w:rsid w:val="008840A4"/>
    <w:pPr>
      <w:keepNext/>
      <w:pBdr>
        <w:top w:val="single" w:sz="6" w:space="1" w:color="666699"/>
      </w:pBdr>
      <w:suppressAutoHyphens/>
      <w:spacing w:after="40" w:line="240" w:lineRule="atLeast"/>
    </w:pPr>
    <w:rPr>
      <w:rFonts w:ascii="Arial" w:eastAsia="KaiTi_GB2312" w:hAnsi="Arial" w:cs="Arial"/>
      <w:b/>
      <w:bCs/>
      <w:i/>
      <w:iCs/>
      <w:color w:val="003765"/>
      <w:kern w:val="0"/>
      <w:szCs w:val="21"/>
      <w:lang w:val="en-GB"/>
    </w:rPr>
  </w:style>
  <w:style w:type="paragraph" w:styleId="ac">
    <w:name w:val="Balloon Text"/>
    <w:basedOn w:val="a"/>
    <w:link w:val="Char8"/>
    <w:uiPriority w:val="99"/>
    <w:semiHidden/>
    <w:unhideWhenUsed/>
    <w:rsid w:val="008840A4"/>
    <w:rPr>
      <w:sz w:val="18"/>
      <w:szCs w:val="18"/>
    </w:rPr>
  </w:style>
  <w:style w:type="character" w:customStyle="1" w:styleId="Char8">
    <w:name w:val="批注框文本 Char"/>
    <w:basedOn w:val="a0"/>
    <w:link w:val="ac"/>
    <w:uiPriority w:val="99"/>
    <w:semiHidden/>
    <w:rsid w:val="008840A4"/>
    <w:rPr>
      <w:sz w:val="18"/>
      <w:szCs w:val="18"/>
    </w:rPr>
  </w:style>
  <w:style w:type="paragraph" w:customStyle="1" w:styleId="CoverBullet">
    <w:name w:val="Cover Bullet"/>
    <w:rsid w:val="008840A4"/>
    <w:pPr>
      <w:numPr>
        <w:numId w:val="3"/>
      </w:numPr>
      <w:spacing w:before="120" w:after="120"/>
      <w:ind w:left="357" w:hanging="357"/>
    </w:pPr>
    <w:rPr>
      <w:rFonts w:ascii="LucidaSans" w:eastAsia="宋体" w:hAnsi="LucidaSans" w:cs="Times New Roman"/>
      <w:b/>
      <w:bCs/>
      <w:kern w:val="0"/>
      <w:sz w:val="20"/>
      <w:szCs w:val="20"/>
      <w:lang w:val="en-GB"/>
    </w:rPr>
  </w:style>
  <w:style w:type="paragraph" w:styleId="ad">
    <w:name w:val="List Paragraph"/>
    <w:basedOn w:val="a"/>
    <w:uiPriority w:val="34"/>
    <w:qFormat/>
    <w:rsid w:val="002630F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5</Pages>
  <Words>586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shanghai vstone</dc:creator>
  <cp:lastModifiedBy>shanghai vstone</cp:lastModifiedBy>
  <cp:revision>567</cp:revision>
  <dcterms:created xsi:type="dcterms:W3CDTF">2013-11-22T08:48:00Z</dcterms:created>
  <dcterms:modified xsi:type="dcterms:W3CDTF">2013-12-01T13:43:00Z</dcterms:modified>
</cp:coreProperties>
</file>